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2D71A">
      <w:pPr>
        <w:pStyle w:val="2"/>
        <w:keepNext w:val="0"/>
        <w:keepLines w:val="0"/>
        <w:widowControl/>
        <w:suppressLineNumbers w:val="0"/>
        <w:spacing w:before="0" w:beforeAutospacing="0" w:after="0" w:afterAutospacing="0" w:line="450" w:lineRule="atLeast"/>
        <w:ind w:left="-226" w:right="-226"/>
        <w:jc w:val="center"/>
        <w:rPr>
          <w:rFonts w:hint="eastAsia" w:ascii="宋体" w:hAnsi="宋体" w:cs="宋体"/>
          <w:i w:val="0"/>
          <w:iCs w:val="0"/>
          <w:color w:val="000000"/>
          <w:kern w:val="0"/>
          <w:sz w:val="48"/>
          <w:szCs w:val="48"/>
          <w:u w:val="none"/>
          <w:lang w:val="en-US" w:eastAsia="zh-CN" w:bidi="ar"/>
        </w:rPr>
      </w:pPr>
      <w:r>
        <w:rPr>
          <w:rFonts w:hint="eastAsia" w:ascii="宋体" w:hAnsi="宋体" w:cs="宋体"/>
          <w:i w:val="0"/>
          <w:iCs w:val="0"/>
          <w:color w:val="000000"/>
          <w:kern w:val="0"/>
          <w:sz w:val="48"/>
          <w:szCs w:val="48"/>
          <w:u w:val="none"/>
          <w:lang w:val="en-US" w:eastAsia="zh-CN" w:bidi="ar"/>
        </w:rPr>
        <w:t>服务内容及要求</w:t>
      </w:r>
    </w:p>
    <w:p w14:paraId="09C8ACA2">
      <w:pPr>
        <w:pStyle w:val="2"/>
        <w:keepNext w:val="0"/>
        <w:keepLines w:val="0"/>
        <w:widowControl/>
        <w:suppressLineNumbers w:val="0"/>
        <w:spacing w:before="0" w:beforeAutospacing="0" w:after="0" w:afterAutospacing="0" w:line="450" w:lineRule="atLeast"/>
        <w:ind w:left="-226" w:right="-226"/>
        <w:jc w:val="left"/>
        <w:rPr>
          <w:rFonts w:hint="eastAsia" w:ascii="宋体" w:hAnsi="宋体" w:cs="宋体"/>
          <w:i w:val="0"/>
          <w:iCs w:val="0"/>
          <w:color w:val="000000"/>
          <w:kern w:val="0"/>
          <w:sz w:val="24"/>
          <w:szCs w:val="24"/>
          <w:u w:val="none"/>
          <w:lang w:val="en-US" w:eastAsia="zh-CN" w:bidi="ar"/>
        </w:rPr>
      </w:pPr>
    </w:p>
    <w:p w14:paraId="59AD7BB4">
      <w:pPr>
        <w:pStyle w:val="2"/>
        <w:keepNext w:val="0"/>
        <w:keepLines w:val="0"/>
        <w:widowControl/>
        <w:suppressLineNumbers w:val="0"/>
        <w:spacing w:before="0" w:beforeAutospacing="0" w:after="0" w:afterAutospacing="0" w:line="450" w:lineRule="atLeast"/>
        <w:ind w:left="-226" w:right="-226"/>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、服务设备清单：（见下方服务设备清单）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、维护服务内容：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为确保机房UPS系统、空调系统的安全稳定运行，供应商在合同期内对机房空调系统、空调系统设备提供每季度一次定检维护、常用耗材与部分易损件更换、7*24小时故障应急抢修、特殊日期保供电安全巡检、提交维护报告及整改方案等技术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1、UPS系统维护工作内容（不含备件）；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定检周期：每季度一次定检维护。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环境检查：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房间的清洁程度；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房间的温度：电池房（小于25度）、UPS房（小于40度）；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设备四周及上面是否有堆积物；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房间的空调通风情况；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设备上方是否有水管；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是否所有金属柜、架都有地线连接。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输入检查：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物理检查：开关、铜牌、机柜的清洁；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连接紧密程度的检查（过热、氧化）：开关、铜牌；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输入电压V1 V2 V3：谐波含量、幅值。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整流器/充电器检查：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物理检查：功率连接的紧密程度（过热、氧化）、信号连接的情况、板及附件的情况、风扇运行情况；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输入电压：U1-2，U2-3，U3-1：谐波含量、幅值URMS；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充电电压的测量：直流电压、纹波的测量；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校验情况。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逆变器检查：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物理检查：电抗、功率连接的紧密程度（过热、氧化）、信号连接的情况、板及附件的情况、风扇、机柜的清洁、直流电容情况、支流电容上次更换的日期；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逆变器电压的测量：V1，V2，V3，U1-2，U2-3，U3-1；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逆变器电流的控制：每个逆变器支路的电流波形；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输出电压的测量：V1、V2、V3、U1-2、U2-3、U3-1，谐波含量，幅值VRMS、URMS，频率，电压不平衡度。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输出电流的测量：I1、I2、I3，谐波含量，幅值IRMS，峰值，电流不平衡度，峰值因数；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校验情况。</w:t>
      </w:r>
    </w:p>
    <w:p w14:paraId="233E58C9">
      <w:pPr>
        <w:pStyle w:val="2"/>
        <w:keepNext w:val="0"/>
        <w:keepLines w:val="0"/>
        <w:widowControl/>
        <w:suppressLineNumbers w:val="0"/>
        <w:spacing w:before="0" w:beforeAutospacing="0" w:after="0" w:afterAutospacing="0" w:line="450" w:lineRule="atLeast"/>
        <w:ind w:left="-226" w:right="-226"/>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 静态开关的检查：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物理检查：功率连接的紧密程度（过热、氧化），信号连接的情况，板及附件的情况，风扇运行情况；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切换测试（经客户部门经理同意后进行）：由UPS切换到旁路，由旁路切换到UPS。</w:t>
      </w:r>
    </w:p>
    <w:p w14:paraId="650D3945">
      <w:pPr>
        <w:pStyle w:val="2"/>
        <w:keepNext w:val="0"/>
        <w:keepLines w:val="0"/>
        <w:widowControl/>
        <w:suppressLineNumbers w:val="0"/>
        <w:spacing w:before="0" w:beforeAutospacing="0" w:after="0" w:afterAutospacing="0" w:line="450" w:lineRule="atLeast"/>
        <w:ind w:left="-226" w:right="-226"/>
        <w:jc w:val="left"/>
        <w:rPr>
          <w:rStyle w:val="5"/>
          <w:rFonts w:hint="eastAsia" w:ascii="仿宋" w:hAnsi="仿宋" w:eastAsia="仿宋" w:cs="仿宋"/>
          <w:b/>
          <w:bCs/>
          <w:i w:val="0"/>
          <w:iCs w:val="0"/>
          <w:caps w:val="0"/>
          <w:color w:val="auto"/>
          <w:spacing w:val="0"/>
          <w:sz w:val="31"/>
          <w:szCs w:val="31"/>
          <w:shd w:val="clear" w:fill="FFFFFF"/>
          <w:lang w:eastAsia="zh-CN"/>
        </w:rPr>
      </w:pPr>
      <w:r>
        <w:rPr>
          <w:rFonts w:hint="eastAsia" w:ascii="宋体" w:hAnsi="宋体" w:eastAsia="宋体" w:cs="宋体"/>
          <w:i w:val="0"/>
          <w:iCs w:val="0"/>
          <w:color w:val="000000"/>
          <w:kern w:val="0"/>
          <w:sz w:val="24"/>
          <w:szCs w:val="24"/>
          <w:u w:val="none"/>
          <w:lang w:val="en-US" w:eastAsia="zh-CN" w:bidi="ar"/>
        </w:rPr>
        <w:t>2、UPS配套蓄电池维护工作内容（不含电池更换）：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 电池房温度的检查；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 电池绝缘情况；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 电池物理检查；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 电池资料：调试日期，电池单体的电压，并联组数，串联只数，后备时间（功率因数0.8的负载）；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 浮充情况下电池电压的测量：记录每块电池的浮充电压；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 电池放电测试：电池电压，电池内阻，一年一次电池容量测试；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 放电时电池电压的测量：放电时间，放电时的负载电流，放电前的直流电压，放电结束时的直流电压，记录放电曲线。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3、机房空调系统维护工作内容：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 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物理检查：清洁情况，门板密封性及关闭情况，底座。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 过滤网：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物理检查：外观，对滤网清洁，更换。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 风机电机：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物理检查：外观，轴承，有无噪音；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电路检查：运行电压，运行电流，气流开关。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 压缩机：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更换两台空调压缩机；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迁移两台空调室外机；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物理检查：外观，清洁；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管道检查：铜管，压缩机的运行压力，高压开关，低压开关，干燥过滤器，液体管路电磁阀，安全阀，膨胀阀；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电路检查：运行电压，运行电流，I/O板，压缩机过热保护器。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 冷凝器：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物理检查：外观，清洁，冷凝风扇；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电路检查：运行电压，运行电流，压力开关，接线盒。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 加湿系统：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物理检查：外观，清洗，更换加湿罐；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电路检查：运行电压，运行电流，进水阀，排水阀，加湿控制板。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 电加热：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物理检查：外观；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电路检查：运行电压，运行电流，过热保护器。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 主控板：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物理检查：外观，接线情况，板及附件的情况；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电路检查：输入电压，检查软件的版本，软件升级，传感器校正，检查并调整参数。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 空调控制柜：检查断路器，检查继电器，检查接线端子，检查电源主开关。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、项目实施要求：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服务要求：供应商应承诺提供系统设备定检运维服务由供应商专业技术人员实施，不得由第三方工作人员代理实施，工作开展前供应商需提供安全措施、组织措施和技术方案，经招标方审批同意后，方可开展相关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质量保证：本次自动化专业机房空调系统、UPS系统、模块化机房维护工作需专业人员实施，为确保本项目的顺利实施，项目实施技术人员必须具备产品检测、维护、修理等技术，熟悉本项目相关系统设备结构，维护工作需满足生产厂家对设备的维保和试验等方面的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3、实施过程要求：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3.1供应商应在实施方案中应提交项目经理、技术负责人、项目组成员名单、组织结构图以及上述人员的资历、具体职责及相关资质证书复印件；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3.2供应商应在实施方案中提交详细的施工组织及实施计划；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3.3未经招标方许可，供应商不得随意抽调项目组成员；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3.4供应商应配合招标方完整项目启动、验收等各环节的资料准备工作。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、技术文档要求：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1、非故障处理类现场维护需在维护前提交维护方案；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2、故障处理类现场维护需在现场维护后3个工作日内提交包含故障分析、解决方案、维护过程等内容的维护报告；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3、定检后3个工作日内需提交包含定检记录、定检分析、性能评估、优化或维护建议等内容的定检报告；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4、针对系统出现的性能问题，需提交系统性能分析报告；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5、提供巡视维护记录、报告模板，由中标方确认。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（五）</w:t>
      </w:r>
      <w:r>
        <w:rPr>
          <w:rFonts w:hint="eastAsia" w:ascii="宋体" w:hAnsi="宋体" w:eastAsia="宋体" w:cs="宋体"/>
          <w:i w:val="0"/>
          <w:iCs w:val="0"/>
          <w:color w:val="000000"/>
          <w:kern w:val="0"/>
          <w:sz w:val="24"/>
          <w:szCs w:val="24"/>
          <w:u w:val="none"/>
          <w:lang w:val="en-US" w:eastAsia="zh-CN" w:bidi="ar"/>
        </w:rPr>
        <w:t>、团队及资质要求：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*1、供应商必须拥有专业的技术团队，根据招标方项目要求进行服务工作。要求在谈判文件中明确整个项目实施过程中供应商参与的人员、角色、资质，提供参与该项目人员的详细履历；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配备的人员名单必须经过招标方审核同意，原则上确定人员后，人员不做调整，确需调整的，需经招标方同意后方可调整；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*3、人员技能要求：项目作业人员具有国家行政主管部门核发的特种作业操作证（包括制冷与空调作业、低压电工作业、焊接与热切割作业、高处作业相关证书）。（提供相关证书及劳动合同、社保证明材料）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（六）</w:t>
      </w:r>
      <w:r>
        <w:rPr>
          <w:rFonts w:hint="eastAsia" w:ascii="宋体" w:hAnsi="宋体" w:eastAsia="宋体" w:cs="宋体"/>
          <w:i w:val="0"/>
          <w:iCs w:val="0"/>
          <w:color w:val="000000"/>
          <w:kern w:val="0"/>
          <w:sz w:val="24"/>
          <w:szCs w:val="24"/>
          <w:u w:val="none"/>
          <w:lang w:val="en-US" w:eastAsia="zh-CN" w:bidi="ar"/>
        </w:rPr>
        <w:t>、应急响应要求（7*24）：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发生紧急故障或事故时，供应商应根据抢险通知45分钟内迅速启动应急机制，调动物资、工具、人员、车辆等及时赶到现场，配合比选人展开应急通信保障和抢险工作，应急抢险保障组人员组成由设备知识的经验丰富的人员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2、供应商应设置全天24小时、全年365天的应急保障热线，提供24小时电话支持服务，并保证电话有人接听和响应。指定应急保障联系人及联系方式（含移动和固定电话、传真）。根据保障需要，需配备维护工具。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（七）</w:t>
      </w:r>
      <w:r>
        <w:rPr>
          <w:rFonts w:hint="eastAsia" w:ascii="宋体" w:hAnsi="宋体" w:eastAsia="宋体" w:cs="宋体"/>
          <w:i w:val="0"/>
          <w:iCs w:val="0"/>
          <w:color w:val="000000"/>
          <w:kern w:val="0"/>
          <w:sz w:val="24"/>
          <w:szCs w:val="24"/>
          <w:u w:val="none"/>
          <w:lang w:val="en-US" w:eastAsia="zh-CN" w:bidi="ar"/>
        </w:rPr>
        <w:t>、安全要求：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1、接受项目招标方的现场安全监督、管理和指导，对招标方提出的安全意见必须及时整改，否则造成的一切后果由供应商承担。发生人身事故或危及供应商生产运行的不安全情况，必须立即向供应商报告；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2、未经招标方允许，供应商不得对本招标采购范围外的其他设备或系统进行操作；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3、承担供应商施工人员因违章违规或操作不当引发事故的全部安全责任、交通事故、法律责任、经济损失；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供应商须认真贯彻执行中华人民共和国、地方安全生产主管部门颁发的有关安全生产的方针、政策和规章、制度，严格执行有关劳动保护的法律、法规、条例以及《建设工程安全生产管理条例》、《电力建设安全工作规程》以及招标人的机房管理等制度、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5、为确保设备维护服务工作开展期间各种网络通信设备、机房设施安全和各项防火、防盗及人身安全，供应商必须做好各项安全工作，确保维护工作的顺利进行和设备安全、稳定运行；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6、供应商在工作期间须根据相关的政策和规定，配合招标人做好现场管理工作；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7、供应商人员在机房内须注意用电安全，严禁使用与生产无关的电器；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8、测试电气设备的电源是否正常应使用相应的测量工具，禁止用手触及电气设备的带电部分和使用短路的方法进行试验；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9、供应商凡进行危险性较大、操作复杂的工作时，必须事先拟定技术安全措施。操作前检查操作命令、操作程序、涉及的设备、工具和防护工具，当确实安全可靠时，方可进行工作；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10、供应商工作期间各种测试仪表和电器设备的外壳要接地良好，插拨电路板件时应使用抗静电手环。带电作时应使用绝缘防护工具，注意人身安全和设备安全。不同种类的电源应使用不同的插座；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11、在狂风雷雨等恶劣天气前后应加强巡视检查，以确保通信机房内外环境的良好与安全。雷雨季节应加强对机房内部安全设备、地线及防护电路的检修；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12、供应商维护人员懂得消防安全的基本常识并接受消防安全培训，知道如何逃生、如何报警、如何使用灭火器材进行预处理。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（八）</w:t>
      </w:r>
      <w:r>
        <w:rPr>
          <w:rFonts w:hint="eastAsia" w:ascii="宋体" w:hAnsi="宋体" w:eastAsia="宋体" w:cs="宋体"/>
          <w:i w:val="0"/>
          <w:iCs w:val="0"/>
          <w:color w:val="000000"/>
          <w:kern w:val="0"/>
          <w:sz w:val="24"/>
          <w:szCs w:val="24"/>
          <w:u w:val="none"/>
          <w:lang w:val="en-US" w:eastAsia="zh-CN" w:bidi="ar"/>
        </w:rPr>
        <w:t>、具备有效的ISO9000质量管理体系认证证书。</w:t>
      </w:r>
      <w:r>
        <w:rPr>
          <w:rFonts w:hint="eastAsia" w:ascii="宋体" w:hAnsi="宋体" w:eastAsia="宋体" w:cs="宋体"/>
          <w:i w:val="0"/>
          <w:iCs w:val="0"/>
          <w:color w:val="000000"/>
          <w:kern w:val="0"/>
          <w:sz w:val="24"/>
          <w:szCs w:val="24"/>
          <w:u w:val="none"/>
          <w:lang w:val="en-US" w:eastAsia="zh-CN" w:bidi="ar"/>
        </w:rPr>
        <w:br w:type="textWrapping"/>
      </w:r>
    </w:p>
    <w:p w14:paraId="6F176E83">
      <w:pPr>
        <w:rPr>
          <w:rFonts w:hint="eastAsia" w:eastAsia="宋体"/>
          <w:b/>
          <w:bCs/>
          <w:lang w:eastAsia="zh-CN"/>
        </w:rPr>
      </w:pPr>
      <w:r>
        <w:rPr>
          <w:rFonts w:hint="eastAsia"/>
          <w:b/>
          <w:bCs/>
          <w:lang w:eastAsia="zh-CN"/>
        </w:rPr>
        <w:t>注意：供应商对加注星号（“*”）的重要技术条款（参数）应当在响应文件中提供技术支持资料。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97D76"/>
    <w:rsid w:val="0E697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2025-11-27T02:50:00Z</dcterms:created>
  <dc:creator>金志毅</dc:creator>
  <cp:lastModifiedBy>金志毅</cp:lastModifiedBy>
  <dcterms:modified xsi:type="dcterms:W3CDTF">2025-11-27T03:00:28Z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8782D5E73575450AA5DA1593CF513457_11</vt:lpwstr>
  </property>
  <property fmtid="{D5CDD505-2E9C-101B-9397-08002B2CF9AE}" pid="4" name="KSOTemplateDocerSaveRecord">
    <vt:lpwstr>eyJoZGlkIjoiNjllZWFmYTY0OTQwODVkNzhlNzE3YjMyMzA4YWI5NmUiLCJ1c2VySWQiOiIxNDU1MjY3NzUzIn0=</vt:lpwstr>
  </property>
</Properties>
</file>