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9734"/>
      <w:bookmarkStart w:id="2" w:name="_Toc87805309"/>
      <w:bookmarkStart w:id="3" w:name="_Toc82724054"/>
      <w:bookmarkStart w:id="4" w:name="_Toc3557"/>
      <w:bookmarkStart w:id="5" w:name="_Toc82006134"/>
      <w:bookmarkStart w:id="6" w:name="_Toc1944"/>
      <w:bookmarkStart w:id="7" w:name="_Toc32179"/>
      <w:bookmarkStart w:id="8" w:name="_Toc31109"/>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21732"/>
      <w:bookmarkStart w:id="10" w:name="_Toc82724055"/>
      <w:bookmarkStart w:id="11" w:name="_Toc25094"/>
      <w:bookmarkStart w:id="12" w:name="_Toc21205"/>
      <w:bookmarkStart w:id="13" w:name="_Toc87805310"/>
      <w:bookmarkStart w:id="14" w:name="_Toc82006135"/>
      <w:bookmarkStart w:id="15" w:name="_Toc10870"/>
      <w:bookmarkStart w:id="16" w:name="_Toc19644"/>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6671"/>
      <w:bookmarkStart w:id="18" w:name="_Toc82006136"/>
      <w:bookmarkStart w:id="19" w:name="_Toc21525"/>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3137"/>
      <w:bookmarkStart w:id="21" w:name="_Toc26653"/>
      <w:bookmarkStart w:id="22" w:name="_Toc87805312"/>
      <w:bookmarkStart w:id="23" w:name="_Toc82724057"/>
      <w:bookmarkStart w:id="24" w:name="_Toc9421"/>
      <w:bookmarkStart w:id="25" w:name="_Toc27838"/>
      <w:bookmarkStart w:id="26" w:name="_Toc8200613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82006138"/>
      <w:bookmarkStart w:id="28" w:name="_Toc14047"/>
      <w:bookmarkStart w:id="29" w:name="_Toc31789"/>
      <w:bookmarkStart w:id="30" w:name="_Toc25247"/>
      <w:bookmarkStart w:id="31" w:name="_Toc87805313"/>
      <w:bookmarkStart w:id="32" w:name="_Toc25712"/>
      <w:bookmarkStart w:id="33" w:name="_Toc29694"/>
      <w:bookmarkStart w:id="34" w:name="_Toc8272405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5493"/>
      <w:bookmarkStart w:id="36" w:name="_Toc20767"/>
      <w:bookmarkStart w:id="37" w:name="_Toc14964"/>
      <w:bookmarkStart w:id="38" w:name="_Toc87805314"/>
      <w:bookmarkStart w:id="39" w:name="_Toc82006139"/>
      <w:bookmarkStart w:id="40" w:name="_Toc18765"/>
      <w:bookmarkStart w:id="41" w:name="_Toc82724059"/>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0ACAED08">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76F07253">
      <w:pPr>
        <w:bidi w:val="0"/>
        <w:rPr>
          <w:rFonts w:hint="eastAsia" w:asciiTheme="minorHAnsi" w:hAnsiTheme="minorHAnsi" w:eastAsiaTheme="minorEastAsia" w:cstheme="minorBidi"/>
          <w:kern w:val="2"/>
          <w:sz w:val="21"/>
          <w:szCs w:val="24"/>
          <w:lang w:val="en-US" w:eastAsia="zh-CN" w:bidi="ar-SA"/>
        </w:rPr>
      </w:pPr>
    </w:p>
    <w:p w14:paraId="4188CB05">
      <w:pPr>
        <w:bidi w:val="0"/>
        <w:rPr>
          <w:rFonts w:hint="eastAsia"/>
          <w:lang w:val="en-US" w:eastAsia="zh-CN"/>
        </w:rPr>
      </w:pPr>
    </w:p>
    <w:p w14:paraId="5D7008F1">
      <w:pPr>
        <w:bidi w:val="0"/>
        <w:rPr>
          <w:rFonts w:hint="eastAsia"/>
          <w:lang w:val="en-US" w:eastAsia="zh-CN"/>
        </w:rPr>
      </w:pPr>
    </w:p>
    <w:p w14:paraId="66356F2A">
      <w:pPr>
        <w:bidi w:val="0"/>
        <w:rPr>
          <w:rFonts w:hint="eastAsia"/>
          <w:lang w:val="en-US" w:eastAsia="zh-CN"/>
        </w:rPr>
      </w:pPr>
    </w:p>
    <w:p w14:paraId="6364CE76">
      <w:pPr>
        <w:bidi w:val="0"/>
        <w:rPr>
          <w:rFonts w:hint="eastAsia"/>
          <w:lang w:val="en-US" w:eastAsia="zh-CN"/>
        </w:rPr>
      </w:pPr>
    </w:p>
    <w:p w14:paraId="35BA8BBE">
      <w:pPr>
        <w:bidi w:val="0"/>
        <w:rPr>
          <w:rFonts w:hint="eastAsia"/>
          <w:lang w:val="en-US" w:eastAsia="zh-CN"/>
        </w:rPr>
      </w:pPr>
    </w:p>
    <w:p w14:paraId="17982D07">
      <w:pPr>
        <w:bidi w:val="0"/>
        <w:rPr>
          <w:rFonts w:hint="eastAsia"/>
          <w:lang w:val="en-US" w:eastAsia="zh-CN"/>
        </w:rPr>
      </w:pPr>
    </w:p>
    <w:p w14:paraId="1D2B3169">
      <w:pPr>
        <w:bidi w:val="0"/>
        <w:rPr>
          <w:rFonts w:hint="eastAsia"/>
          <w:lang w:val="en-US" w:eastAsia="zh-CN"/>
        </w:rPr>
      </w:pPr>
    </w:p>
    <w:p w14:paraId="291941D9">
      <w:pPr>
        <w:bidi w:val="0"/>
        <w:rPr>
          <w:rFonts w:hint="eastAsia"/>
          <w:lang w:val="en-US" w:eastAsia="zh-CN"/>
        </w:rPr>
      </w:pPr>
    </w:p>
    <w:p w14:paraId="0FB02556">
      <w:pPr>
        <w:bidi w:val="0"/>
        <w:rPr>
          <w:rFonts w:hint="eastAsia"/>
          <w:lang w:val="en-US" w:eastAsia="zh-CN"/>
        </w:rPr>
      </w:pPr>
    </w:p>
    <w:p w14:paraId="33CB9EE7">
      <w:pPr>
        <w:bidi w:val="0"/>
        <w:rPr>
          <w:rFonts w:hint="eastAsia"/>
          <w:lang w:val="en-US" w:eastAsia="zh-CN"/>
        </w:rPr>
      </w:pPr>
    </w:p>
    <w:p w14:paraId="6EA1C9B4">
      <w:pPr>
        <w:bidi w:val="0"/>
        <w:rPr>
          <w:rFonts w:hint="eastAsia"/>
          <w:lang w:val="en-US" w:eastAsia="zh-CN"/>
        </w:rPr>
      </w:pPr>
    </w:p>
    <w:p w14:paraId="78DC826B">
      <w:pPr>
        <w:bidi w:val="0"/>
        <w:rPr>
          <w:rFonts w:hint="eastAsia"/>
          <w:lang w:val="en-US" w:eastAsia="zh-CN"/>
        </w:rPr>
      </w:pPr>
    </w:p>
    <w:p w14:paraId="405B368D">
      <w:pPr>
        <w:bidi w:val="0"/>
        <w:rPr>
          <w:rFonts w:hint="eastAsia"/>
          <w:lang w:val="en-US" w:eastAsia="zh-CN"/>
        </w:rPr>
      </w:pPr>
    </w:p>
    <w:p w14:paraId="2521881D">
      <w:pPr>
        <w:tabs>
          <w:tab w:val="left" w:pos="2803"/>
        </w:tabs>
        <w:bidi w:val="0"/>
        <w:jc w:val="left"/>
        <w:rPr>
          <w:rFonts w:hint="eastAsia"/>
          <w:lang w:val="en-US" w:eastAsia="zh-CN"/>
        </w:rPr>
      </w:pPr>
      <w:r>
        <w:rPr>
          <w:rFonts w:hint="eastAsia"/>
          <w:lang w:val="en-US" w:eastAsia="zh-CN"/>
        </w:rPr>
        <w:tab/>
      </w:r>
    </w:p>
    <w:p w14:paraId="6307CC20">
      <w:pPr>
        <w:rPr>
          <w:rFonts w:hint="eastAsia"/>
          <w:lang w:val="en-US" w:eastAsia="zh-CN"/>
        </w:rPr>
      </w:pPr>
    </w:p>
    <w:p w14:paraId="660A7FAE">
      <w:pPr>
        <w:rPr>
          <w:rFonts w:hint="eastAsia"/>
          <w:lang w:val="en-US" w:eastAsia="zh-CN"/>
        </w:rPr>
      </w:pPr>
    </w:p>
    <w:p w14:paraId="07110908">
      <w:pPr>
        <w:rPr>
          <w:rFonts w:hint="eastAsia"/>
          <w:lang w:val="en-US" w:eastAsia="zh-CN"/>
        </w:rPr>
      </w:pPr>
    </w:p>
    <w:p w14:paraId="1EE2587D">
      <w:pPr>
        <w:rPr>
          <w:rFonts w:hint="eastAsia"/>
          <w:lang w:val="en-US" w:eastAsia="zh-CN"/>
        </w:rPr>
      </w:pPr>
    </w:p>
    <w:p w14:paraId="558DD39A">
      <w:pPr>
        <w:rPr>
          <w:rFonts w:hint="eastAsia"/>
          <w:lang w:val="en-US" w:eastAsia="zh-CN"/>
        </w:rPr>
      </w:pPr>
    </w:p>
    <w:p w14:paraId="4DE755B2">
      <w:pPr>
        <w:rPr>
          <w:rFonts w:hint="eastAsia"/>
          <w:lang w:val="en-US" w:eastAsia="zh-CN"/>
        </w:rPr>
      </w:pPr>
    </w:p>
    <w:p w14:paraId="00ABCDD5">
      <w:pPr>
        <w:rPr>
          <w:rFonts w:hint="eastAsia"/>
          <w:lang w:val="en-US" w:eastAsia="zh-CN"/>
        </w:rPr>
      </w:pPr>
    </w:p>
    <w:p w14:paraId="42B7B4ED">
      <w:pPr>
        <w:rPr>
          <w:rFonts w:hint="eastAsia"/>
          <w:lang w:val="en-US" w:eastAsia="zh-CN"/>
        </w:rPr>
      </w:pPr>
    </w:p>
    <w:p w14:paraId="6BDE5007">
      <w:pPr>
        <w:rPr>
          <w:rFonts w:hint="eastAsia"/>
          <w:lang w:val="en-US" w:eastAsia="zh-CN"/>
        </w:rPr>
      </w:pPr>
    </w:p>
    <w:p w14:paraId="62B1FC58">
      <w:pPr>
        <w:rPr>
          <w:rFonts w:hint="eastAsia"/>
          <w:lang w:val="en-US" w:eastAsia="zh-CN"/>
        </w:rPr>
      </w:pPr>
    </w:p>
    <w:p w14:paraId="298F04CE">
      <w:pPr>
        <w:rPr>
          <w:rFonts w:hint="eastAsia"/>
          <w:lang w:val="en-US" w:eastAsia="zh-CN"/>
        </w:rPr>
      </w:pPr>
    </w:p>
    <w:p w14:paraId="5848E949">
      <w:pPr>
        <w:rPr>
          <w:rFonts w:hint="eastAsia"/>
          <w:lang w:val="en-US" w:eastAsia="zh-CN"/>
        </w:rPr>
      </w:pPr>
    </w:p>
    <w:p w14:paraId="06286514">
      <w:pPr>
        <w:rPr>
          <w:rFonts w:hint="eastAsia"/>
          <w:lang w:val="en-US" w:eastAsia="zh-CN"/>
        </w:rPr>
      </w:pPr>
    </w:p>
    <w:p w14:paraId="6E31131A">
      <w:pPr>
        <w:rPr>
          <w:rFonts w:hint="eastAsia"/>
          <w:lang w:val="en-US" w:eastAsia="zh-CN"/>
        </w:rPr>
      </w:pPr>
    </w:p>
    <w:p w14:paraId="55154F0E">
      <w:pPr>
        <w:rPr>
          <w:rFonts w:hint="eastAsia"/>
          <w:lang w:val="en-US" w:eastAsia="zh-CN"/>
        </w:rPr>
      </w:pPr>
    </w:p>
    <w:p w14:paraId="79F754FE">
      <w:pPr>
        <w:rPr>
          <w:rFonts w:hint="eastAsia"/>
          <w:lang w:val="en-US" w:eastAsia="zh-CN"/>
        </w:rPr>
      </w:pPr>
    </w:p>
    <w:p w14:paraId="73652D5E">
      <w:pPr>
        <w:rPr>
          <w:rFonts w:hint="eastAsia"/>
          <w:lang w:val="en-US" w:eastAsia="zh-CN"/>
        </w:rPr>
      </w:pPr>
    </w:p>
    <w:p w14:paraId="7CDADA08">
      <w:pPr>
        <w:rPr>
          <w:rFonts w:hint="eastAsia"/>
          <w:lang w:val="en-US" w:eastAsia="zh-CN"/>
        </w:rPr>
      </w:pPr>
    </w:p>
    <w:p w14:paraId="4AFAF40E">
      <w:pPr>
        <w:rPr>
          <w:rFonts w:hint="eastAsia"/>
          <w:lang w:val="en-US" w:eastAsia="zh-CN"/>
        </w:rPr>
      </w:pPr>
    </w:p>
    <w:p w14:paraId="07D43207">
      <w:pPr>
        <w:rPr>
          <w:rFonts w:hint="eastAsia"/>
          <w:lang w:val="en-US" w:eastAsia="zh-CN"/>
        </w:rPr>
      </w:pPr>
    </w:p>
    <w:p w14:paraId="1798C151">
      <w:pPr>
        <w:rPr>
          <w:rFonts w:hint="eastAsia"/>
          <w:lang w:val="en-US" w:eastAsia="zh-CN"/>
        </w:rPr>
      </w:pPr>
    </w:p>
    <w:p w14:paraId="15274ADA">
      <w:pPr>
        <w:rPr>
          <w:rFonts w:hint="eastAsia"/>
          <w:lang w:val="en-US" w:eastAsia="zh-CN"/>
        </w:rPr>
      </w:pPr>
    </w:p>
    <w:p w14:paraId="2160A434">
      <w:pPr>
        <w:rPr>
          <w:rFonts w:hint="eastAsia"/>
          <w:lang w:val="en-US" w:eastAsia="zh-CN"/>
        </w:rPr>
      </w:pPr>
    </w:p>
    <w:p w14:paraId="7A46CF8E">
      <w:pPr>
        <w:rPr>
          <w:rFonts w:hint="eastAsia"/>
          <w:lang w:val="en-US" w:eastAsia="zh-CN"/>
        </w:rPr>
      </w:pPr>
    </w:p>
    <w:p w14:paraId="5643BB36">
      <w:pPr>
        <w:rPr>
          <w:rFonts w:hint="eastAsia"/>
          <w:lang w:val="en-US" w:eastAsia="zh-CN"/>
        </w:rPr>
      </w:pPr>
      <w:r>
        <w:rPr>
          <w:rFonts w:hint="eastAsia"/>
          <w:lang w:val="en-US" w:eastAsia="zh-CN"/>
        </w:rPr>
        <w:br w:type="page"/>
      </w:r>
    </w:p>
    <w:p w14:paraId="28AA3F20">
      <w:pPr>
        <w:rPr>
          <w:rFonts w:hint="eastAsia"/>
          <w:lang w:val="en-US" w:eastAsia="zh-CN"/>
        </w:rPr>
        <w:sectPr>
          <w:pgSz w:w="11906" w:h="16838"/>
          <w:pgMar w:top="1440" w:right="1800" w:bottom="1440" w:left="1800" w:header="851" w:footer="992" w:gutter="0"/>
          <w:cols w:space="425" w:num="1"/>
          <w:docGrid w:type="lines" w:linePitch="312" w:charSpace="0"/>
        </w:sectPr>
      </w:pPr>
    </w:p>
    <w:p w14:paraId="4F51A0F4">
      <w:pPr>
        <w:spacing w:line="360" w:lineRule="exact"/>
        <w:jc w:val="center"/>
        <w:outlineLvl w:val="0"/>
        <w:rPr>
          <w:rFonts w:hint="eastAsia" w:ascii="宋体" w:hAnsi="宋体" w:cs="宋体"/>
          <w:b/>
          <w:bCs/>
          <w:sz w:val="24"/>
        </w:rPr>
      </w:pPr>
      <w:bookmarkStart w:id="45" w:name="_Toc15534"/>
      <w:r>
        <w:rPr>
          <w:rFonts w:hint="eastAsia" w:ascii="宋体" w:hAnsi="宋体" w:cs="宋体"/>
          <w:b/>
          <w:bCs/>
          <w:sz w:val="24"/>
          <w:lang w:val="en-US" w:eastAsia="zh-CN"/>
        </w:rPr>
        <w:t>一</w:t>
      </w:r>
      <w:r>
        <w:rPr>
          <w:rFonts w:hint="eastAsia" w:ascii="宋体" w:hAnsi="宋体" w:cs="宋体"/>
          <w:b/>
          <w:bCs/>
          <w:sz w:val="24"/>
        </w:rPr>
        <w:t>、</w:t>
      </w:r>
      <w:bookmarkStart w:id="46" w:name="_Toc20946"/>
      <w:bookmarkStart w:id="47" w:name="_Toc1467"/>
      <w:bookmarkStart w:id="48" w:name="_Toc27118"/>
      <w:bookmarkStart w:id="49" w:name="_Toc82006142"/>
      <w:bookmarkStart w:id="50" w:name="_Toc30767"/>
      <w:bookmarkStart w:id="51" w:name="_Toc8272406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6"/>
      <w:bookmarkEnd w:id="47"/>
      <w:bookmarkEnd w:id="48"/>
      <w:bookmarkEnd w:id="49"/>
      <w:bookmarkEnd w:id="50"/>
      <w:bookmarkEnd w:id="51"/>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合计报价（1号门配置和2-4号门配置合计）</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售后服务承诺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3F74CFB2">
      <w:pPr>
        <w:spacing w:line="360" w:lineRule="exact"/>
        <w:rPr>
          <w:rFonts w:hint="eastAsia" w:ascii="宋体" w:hAnsi="宋体" w:cs="宋体"/>
          <w:bCs/>
          <w:sz w:val="24"/>
        </w:rPr>
      </w:pPr>
    </w:p>
    <w:p w14:paraId="015BD74C">
      <w:pPr>
        <w:spacing w:line="360" w:lineRule="exact"/>
        <w:rPr>
          <w:rFonts w:hint="eastAsia" w:ascii="宋体" w:hAnsi="宋体" w:cs="宋体"/>
          <w:bCs/>
          <w:sz w:val="24"/>
        </w:rPr>
      </w:pPr>
    </w:p>
    <w:p w14:paraId="59DB8AFF">
      <w:pPr>
        <w:spacing w:line="360" w:lineRule="exact"/>
        <w:rPr>
          <w:rFonts w:hint="eastAsia" w:ascii="宋体" w:hAnsi="宋体" w:cs="宋体"/>
          <w:bCs/>
          <w:sz w:val="24"/>
        </w:rPr>
      </w:pPr>
    </w:p>
    <w:p w14:paraId="127BE67A">
      <w:pPr>
        <w:spacing w:line="360" w:lineRule="exact"/>
        <w:rPr>
          <w:rFonts w:hint="eastAsia" w:ascii="宋体" w:hAnsi="宋体" w:cs="宋体"/>
          <w:bCs/>
          <w:sz w:val="24"/>
        </w:rPr>
      </w:pPr>
    </w:p>
    <w:p w14:paraId="0DB1610D">
      <w:pPr>
        <w:spacing w:line="360" w:lineRule="exact"/>
        <w:rPr>
          <w:rFonts w:hint="eastAsia" w:ascii="宋体" w:hAnsi="宋体" w:cs="宋体"/>
          <w:bCs/>
          <w:sz w:val="24"/>
        </w:rPr>
      </w:pPr>
    </w:p>
    <w:p w14:paraId="03221495">
      <w:pPr>
        <w:spacing w:line="360" w:lineRule="exact"/>
        <w:rPr>
          <w:rFonts w:hint="eastAsia" w:ascii="宋体" w:hAnsi="宋体" w:cs="宋体"/>
          <w:bCs/>
          <w:sz w:val="24"/>
        </w:rPr>
      </w:pP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2" w:name="_Toc3975"/>
      <w:bookmarkStart w:id="53" w:name="_Toc82006143"/>
      <w:bookmarkStart w:id="54" w:name="_Toc7898"/>
      <w:bookmarkStart w:id="55" w:name="_Toc11833"/>
      <w:bookmarkStart w:id="56" w:name="_Toc82724063"/>
      <w:r>
        <w:rPr>
          <w:rFonts w:hint="eastAsia" w:ascii="宋体" w:hAnsi="宋体" w:cs="宋体"/>
          <w:b/>
          <w:bCs/>
          <w:sz w:val="24"/>
          <w:lang w:val="en-US" w:eastAsia="zh-CN"/>
        </w:rPr>
        <w:t>（2）最终报价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bookmarkStart w:id="79" w:name="_GoBack" w:colFirst="1" w:colLast="2"/>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合计报价（1号门配置和2-4号门配置合计）</w:t>
            </w:r>
          </w:p>
        </w:tc>
        <w:tc>
          <w:tcPr>
            <w:tcW w:w="6300" w:type="dxa"/>
            <w:vMerge w:val="restart"/>
            <w:noWrap w:val="0"/>
            <w:vAlign w:val="center"/>
          </w:tcPr>
          <w:p w14:paraId="439195C0">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352CAD0F">
            <w:pPr>
              <w:spacing w:line="300" w:lineRule="exact"/>
              <w:jc w:val="left"/>
              <w:rPr>
                <w:rFonts w:hint="eastAsia" w:ascii="宋体" w:hAnsi="宋体" w:cs="宋体"/>
                <w:kern w:val="0"/>
                <w:sz w:val="28"/>
                <w:szCs w:val="28"/>
                <w:u w:val="single"/>
                <w:lang w:val="en-US" w:eastAsia="zh-CN"/>
              </w:rPr>
            </w:pPr>
          </w:p>
          <w:p w14:paraId="5D54490D">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bookmarkEnd w:id="79"/>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lang w:val="en-US" w:eastAsia="zh-CN"/>
              </w:rPr>
              <w:t>售后服务承诺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1788A9D1">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bookmarkEnd w:id="52"/>
    <w:bookmarkEnd w:id="53"/>
    <w:bookmarkEnd w:id="54"/>
    <w:bookmarkEnd w:id="55"/>
    <w:bookmarkEnd w:id="56"/>
    <w:p w14:paraId="7AC6AAD0">
      <w:pPr>
        <w:spacing w:line="360" w:lineRule="exact"/>
        <w:jc w:val="both"/>
        <w:outlineLvl w:val="0"/>
        <w:rPr>
          <w:rFonts w:hint="eastAsia" w:ascii="宋体" w:hAnsi="宋体" w:cs="宋体"/>
          <w:b/>
          <w:bCs/>
          <w:sz w:val="24"/>
          <w:lang w:val="en-US" w:eastAsia="zh-CN"/>
        </w:rPr>
      </w:pPr>
    </w:p>
    <w:p w14:paraId="3C523515">
      <w:pPr>
        <w:spacing w:line="360" w:lineRule="exact"/>
        <w:jc w:val="center"/>
        <w:outlineLvl w:val="0"/>
        <w:rPr>
          <w:rFonts w:hint="eastAsia" w:ascii="宋体" w:hAnsi="宋体" w:cs="宋体"/>
          <w:b/>
          <w:bCs/>
          <w:sz w:val="24"/>
          <w:lang w:val="en-US" w:eastAsia="zh-CN"/>
        </w:rPr>
      </w:pPr>
    </w:p>
    <w:p w14:paraId="67A225A5">
      <w:pPr>
        <w:rPr>
          <w:rFonts w:hint="eastAsia" w:ascii="宋体" w:hAnsi="宋体" w:cs="宋体"/>
          <w:b/>
          <w:bCs/>
          <w:sz w:val="24"/>
          <w:lang w:val="en-US" w:eastAsia="zh-CN"/>
        </w:rPr>
      </w:pPr>
      <w:r>
        <w:rPr>
          <w:rFonts w:hint="eastAsia" w:ascii="宋体" w:hAnsi="宋体" w:cs="宋体"/>
          <w:b/>
          <w:bCs/>
          <w:sz w:val="24"/>
          <w:lang w:val="en-US" w:eastAsia="zh-CN"/>
        </w:rPr>
        <w:br w:type="page"/>
      </w:r>
    </w:p>
    <w:p w14:paraId="51CF7473">
      <w:pPr>
        <w:spacing w:line="360" w:lineRule="exact"/>
        <w:jc w:val="center"/>
        <w:outlineLvl w:val="0"/>
        <w:rPr>
          <w:rFonts w:hint="eastAsia" w:ascii="宋体" w:hAnsi="宋体" w:cs="宋体"/>
          <w:b/>
          <w:bCs/>
          <w:sz w:val="24"/>
          <w:lang w:val="en-US" w:eastAsia="zh-CN"/>
        </w:rPr>
        <w:sectPr>
          <w:pgSz w:w="11906" w:h="16838"/>
          <w:pgMar w:top="1440" w:right="1800" w:bottom="1440" w:left="1800" w:header="851" w:footer="992" w:gutter="0"/>
          <w:cols w:space="425" w:num="1"/>
          <w:docGrid w:type="lines" w:linePitch="312" w:charSpace="0"/>
        </w:sectPr>
      </w:pPr>
    </w:p>
    <w:p w14:paraId="0518F14B">
      <w:pPr>
        <w:spacing w:line="360" w:lineRule="exact"/>
        <w:ind w:firstLine="3614" w:firstLineChars="1500"/>
        <w:jc w:val="both"/>
        <w:outlineLvl w:val="0"/>
        <w:rPr>
          <w:rFonts w:hint="eastAsia" w:ascii="宋体" w:hAnsi="宋体" w:cs="宋体"/>
          <w:b/>
          <w:bCs/>
          <w:sz w:val="24"/>
          <w:lang w:val="en-US" w:eastAsia="zh-CN"/>
        </w:rPr>
      </w:pPr>
      <w:r>
        <w:rPr>
          <w:rFonts w:hint="eastAsia" w:ascii="宋体" w:hAnsi="宋体" w:cs="宋体"/>
          <w:b/>
          <w:bCs/>
          <w:sz w:val="24"/>
          <w:lang w:val="en-US" w:eastAsia="zh-CN"/>
        </w:rPr>
        <w:t>二、（1）云南省滇南中心医院（红河哈尼族彝族自治州第一人民医院）</w:t>
      </w:r>
      <w:bookmarkEnd w:id="45"/>
    </w:p>
    <w:p w14:paraId="5614AB45">
      <w:pPr>
        <w:spacing w:line="360" w:lineRule="exact"/>
        <w:jc w:val="center"/>
        <w:outlineLvl w:val="0"/>
        <w:rPr>
          <w:rFonts w:hint="eastAsia" w:ascii="宋体" w:hAnsi="宋体" w:cs="宋体"/>
          <w:b/>
          <w:bCs/>
          <w:sz w:val="24"/>
          <w:lang w:val="en-US" w:eastAsia="zh-CN"/>
        </w:rPr>
      </w:pPr>
      <w:bookmarkStart w:id="57" w:name="_Toc23285"/>
      <w:r>
        <w:rPr>
          <w:rFonts w:hint="eastAsia" w:ascii="宋体" w:hAnsi="宋体" w:cs="宋体"/>
          <w:b/>
          <w:bCs/>
          <w:sz w:val="24"/>
          <w:lang w:val="en-US" w:eastAsia="zh-CN"/>
        </w:rPr>
        <w:t>医院出入口改造项目首次报价明细一览表</w:t>
      </w:r>
      <w:bookmarkEnd w:id="57"/>
    </w:p>
    <w:p w14:paraId="3533D0B8">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b/>
          <w:bCs/>
          <w:sz w:val="24"/>
          <w:lang w:val="en-US" w:eastAsia="zh-CN"/>
        </w:rPr>
      </w:pPr>
      <w:r>
        <w:rPr>
          <w:rFonts w:hint="eastAsia" w:ascii="宋体" w:hAnsi="宋体" w:cs="宋体"/>
          <w:i w:val="0"/>
          <w:iCs w:val="0"/>
          <w:caps w:val="0"/>
          <w:color w:val="auto"/>
          <w:spacing w:val="0"/>
          <w:sz w:val="28"/>
          <w:szCs w:val="28"/>
          <w:shd w:val="clear" w:color="auto" w:fill="FFFFFF"/>
          <w:lang w:val="en-US" w:eastAsia="zh-CN"/>
        </w:rPr>
        <w:t>（1）1号门配置单</w:t>
      </w:r>
    </w:p>
    <w:tbl>
      <w:tblPr>
        <w:tblStyle w:val="8"/>
        <w:tblpPr w:leftFromText="180" w:rightFromText="180" w:vertAnchor="text" w:horzAnchor="page" w:tblpX="1253" w:tblpY="354"/>
        <w:tblOverlap w:val="never"/>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35"/>
        <w:gridCol w:w="795"/>
        <w:gridCol w:w="750"/>
        <w:gridCol w:w="1530"/>
        <w:gridCol w:w="6809"/>
        <w:gridCol w:w="585"/>
        <w:gridCol w:w="780"/>
        <w:gridCol w:w="915"/>
        <w:gridCol w:w="795"/>
      </w:tblGrid>
      <w:tr w14:paraId="6D2D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690" w:type="dxa"/>
            <w:noWrap w:val="0"/>
            <w:vAlign w:val="center"/>
          </w:tcPr>
          <w:p w14:paraId="16781FF7">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序号</w:t>
            </w:r>
          </w:p>
        </w:tc>
        <w:tc>
          <w:tcPr>
            <w:tcW w:w="735" w:type="dxa"/>
            <w:noWrap w:val="0"/>
            <w:vAlign w:val="center"/>
          </w:tcPr>
          <w:p w14:paraId="1401F32A">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设备名称</w:t>
            </w:r>
          </w:p>
        </w:tc>
        <w:tc>
          <w:tcPr>
            <w:tcW w:w="795" w:type="dxa"/>
            <w:noWrap w:val="0"/>
            <w:vAlign w:val="center"/>
          </w:tcPr>
          <w:p w14:paraId="59412160">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品牌</w:t>
            </w:r>
          </w:p>
        </w:tc>
        <w:tc>
          <w:tcPr>
            <w:tcW w:w="750" w:type="dxa"/>
            <w:noWrap w:val="0"/>
            <w:vAlign w:val="center"/>
          </w:tcPr>
          <w:p w14:paraId="037073AA">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型号</w:t>
            </w:r>
          </w:p>
        </w:tc>
        <w:tc>
          <w:tcPr>
            <w:tcW w:w="1530" w:type="dxa"/>
            <w:noWrap w:val="0"/>
            <w:vAlign w:val="center"/>
          </w:tcPr>
          <w:p w14:paraId="7C338D7B">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产品图片</w:t>
            </w:r>
          </w:p>
        </w:tc>
        <w:tc>
          <w:tcPr>
            <w:tcW w:w="6810" w:type="dxa"/>
            <w:noWrap w:val="0"/>
            <w:vAlign w:val="center"/>
          </w:tcPr>
          <w:p w14:paraId="03FE131F">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描述</w:t>
            </w:r>
          </w:p>
        </w:tc>
        <w:tc>
          <w:tcPr>
            <w:tcW w:w="585" w:type="dxa"/>
            <w:noWrap w:val="0"/>
            <w:vAlign w:val="center"/>
          </w:tcPr>
          <w:p w14:paraId="763A1BA5">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单位</w:t>
            </w:r>
          </w:p>
        </w:tc>
        <w:tc>
          <w:tcPr>
            <w:tcW w:w="780" w:type="dxa"/>
            <w:noWrap w:val="0"/>
            <w:vAlign w:val="center"/>
          </w:tcPr>
          <w:p w14:paraId="09F7D4C0">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数量</w:t>
            </w:r>
          </w:p>
        </w:tc>
        <w:tc>
          <w:tcPr>
            <w:tcW w:w="915" w:type="dxa"/>
            <w:noWrap w:val="0"/>
            <w:vAlign w:val="center"/>
          </w:tcPr>
          <w:p w14:paraId="418AA49A">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单价</w:t>
            </w:r>
          </w:p>
        </w:tc>
        <w:tc>
          <w:tcPr>
            <w:tcW w:w="795" w:type="dxa"/>
            <w:noWrap w:val="0"/>
            <w:vAlign w:val="center"/>
          </w:tcPr>
          <w:p w14:paraId="004DA295">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总价</w:t>
            </w:r>
          </w:p>
        </w:tc>
      </w:tr>
      <w:tr w14:paraId="4E0D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90" w:type="dxa"/>
            <w:shd w:val="clear" w:color="auto" w:fill="auto"/>
            <w:noWrap w:val="0"/>
            <w:vAlign w:val="center"/>
          </w:tcPr>
          <w:p w14:paraId="32B5380C">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35" w:type="dxa"/>
            <w:shd w:val="clear" w:color="auto" w:fill="auto"/>
            <w:noWrap w:val="0"/>
            <w:vAlign w:val="center"/>
          </w:tcPr>
          <w:p w14:paraId="2DCE0BE0">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道闸</w:t>
            </w:r>
          </w:p>
        </w:tc>
        <w:tc>
          <w:tcPr>
            <w:tcW w:w="795" w:type="dxa"/>
            <w:noWrap w:val="0"/>
            <w:vAlign w:val="center"/>
          </w:tcPr>
          <w:p w14:paraId="02146E23">
            <w:pPr>
              <w:jc w:val="center"/>
              <w:rPr>
                <w:rFonts w:hint="eastAsia" w:ascii="宋体" w:hAnsi="宋体" w:cs="宋体"/>
                <w:sz w:val="24"/>
              </w:rPr>
            </w:pPr>
          </w:p>
        </w:tc>
        <w:tc>
          <w:tcPr>
            <w:tcW w:w="750" w:type="dxa"/>
            <w:noWrap w:val="0"/>
            <w:vAlign w:val="center"/>
          </w:tcPr>
          <w:p w14:paraId="5C59FC6F">
            <w:pPr>
              <w:jc w:val="center"/>
              <w:rPr>
                <w:rFonts w:hint="eastAsia" w:ascii="宋体" w:hAnsi="宋体" w:cs="宋体" w:eastAsiaTheme="minorEastAsia"/>
                <w:sz w:val="24"/>
                <w:lang w:val="en-US" w:eastAsia="zh-CN"/>
              </w:rPr>
            </w:pPr>
          </w:p>
        </w:tc>
        <w:tc>
          <w:tcPr>
            <w:tcW w:w="1530" w:type="dxa"/>
            <w:noWrap w:val="0"/>
            <w:vAlign w:val="center"/>
          </w:tcPr>
          <w:p w14:paraId="5CFE9533">
            <w:pPr>
              <w:keepNext w:val="0"/>
              <w:keepLines w:val="0"/>
              <w:widowControl/>
              <w:suppressLineNumbers w:val="0"/>
              <w:jc w:val="center"/>
              <w:textAlignment w:val="center"/>
              <w:rPr>
                <w:rFonts w:hint="eastAsia" w:ascii="宋体" w:hAnsi="宋体" w:cs="宋体" w:eastAsiaTheme="minorEastAsia"/>
                <w:sz w:val="24"/>
                <w:lang w:eastAsia="zh-CN"/>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57150</wp:posOffset>
                  </wp:positionH>
                  <wp:positionV relativeFrom="paragraph">
                    <wp:posOffset>-406400</wp:posOffset>
                  </wp:positionV>
                  <wp:extent cx="791210" cy="944245"/>
                  <wp:effectExtent l="0" t="0" r="8890" b="8255"/>
                  <wp:wrapNone/>
                  <wp:docPr id="13" name="图片_10"/>
                  <wp:cNvGraphicFramePr/>
                  <a:graphic xmlns:a="http://schemas.openxmlformats.org/drawingml/2006/main">
                    <a:graphicData uri="http://schemas.openxmlformats.org/drawingml/2006/picture">
                      <pic:pic xmlns:pic="http://schemas.openxmlformats.org/drawingml/2006/picture">
                        <pic:nvPicPr>
                          <pic:cNvPr id="13" name="图片_10"/>
                          <pic:cNvPicPr/>
                        </pic:nvPicPr>
                        <pic:blipFill>
                          <a:blip r:embed="rId4"/>
                          <a:stretch>
                            <a:fillRect/>
                          </a:stretch>
                        </pic:blipFill>
                        <pic:spPr>
                          <a:xfrm>
                            <a:off x="0" y="0"/>
                            <a:ext cx="791210" cy="944245"/>
                          </a:xfrm>
                          <a:prstGeom prst="rect">
                            <a:avLst/>
                          </a:prstGeom>
                          <a:noFill/>
                          <a:ln>
                            <a:noFill/>
                          </a:ln>
                        </pic:spPr>
                      </pic:pic>
                    </a:graphicData>
                  </a:graphic>
                </wp:anchor>
              </w:drawing>
            </w:r>
          </w:p>
        </w:tc>
        <w:tc>
          <w:tcPr>
            <w:tcW w:w="6810" w:type="dxa"/>
            <w:noWrap w:val="0"/>
            <w:vAlign w:val="center"/>
          </w:tcPr>
          <w:p w14:paraId="15B88FDD">
            <w:pPr>
              <w:keepNext w:val="0"/>
              <w:keepLines w:val="0"/>
              <w:widowControl/>
              <w:suppressLineNumbers w:val="0"/>
              <w:jc w:val="left"/>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 电机上装有手轮装置，停电时，实现手动开启；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遥控器：可分别控制道闸1、道闸2（开启、关闭、停止）；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具备多种接口，可接入红外线、地感、雷达（出口闸机需要自动感应开启功能）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因室外使用，必须具有良好的耐用性。</w:t>
            </w:r>
          </w:p>
        </w:tc>
        <w:tc>
          <w:tcPr>
            <w:tcW w:w="585" w:type="dxa"/>
            <w:noWrap w:val="0"/>
            <w:vAlign w:val="center"/>
          </w:tcPr>
          <w:p w14:paraId="13EED5EA">
            <w:pPr>
              <w:keepNext w:val="0"/>
              <w:keepLines w:val="0"/>
              <w:widowControl/>
              <w:suppressLineNumbers w:val="0"/>
              <w:jc w:val="center"/>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76EEEECA">
            <w:pPr>
              <w:keepNext w:val="0"/>
              <w:keepLines w:val="0"/>
              <w:widowControl/>
              <w:suppressLineNumbers w:val="0"/>
              <w:jc w:val="center"/>
              <w:textAlignment w:val="center"/>
              <w:rPr>
                <w:rFonts w:hint="default" w:ascii="宋体" w:hAnsi="宋体" w:cs="宋体" w:eastAsiaTheme="minorEastAsia"/>
                <w:sz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4D1AABC6">
            <w:pPr>
              <w:jc w:val="center"/>
              <w:rPr>
                <w:rFonts w:hint="default" w:ascii="宋体" w:hAnsi="宋体" w:cs="宋体" w:eastAsiaTheme="minorEastAsia"/>
                <w:sz w:val="24"/>
                <w:lang w:val="en-US" w:eastAsia="zh-CN"/>
              </w:rPr>
            </w:pPr>
          </w:p>
        </w:tc>
        <w:tc>
          <w:tcPr>
            <w:tcW w:w="795" w:type="dxa"/>
            <w:noWrap w:val="0"/>
            <w:vAlign w:val="center"/>
          </w:tcPr>
          <w:p w14:paraId="4949883D">
            <w:pPr>
              <w:jc w:val="center"/>
              <w:rPr>
                <w:rFonts w:hint="default" w:ascii="宋体" w:hAnsi="宋体" w:cs="宋体" w:eastAsiaTheme="minorEastAsia"/>
                <w:sz w:val="24"/>
                <w:lang w:val="en-US" w:eastAsia="zh-CN"/>
              </w:rPr>
            </w:pPr>
          </w:p>
        </w:tc>
      </w:tr>
      <w:tr w14:paraId="1685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690" w:type="dxa"/>
            <w:shd w:val="clear" w:color="auto" w:fill="auto"/>
            <w:noWrap w:val="0"/>
            <w:vAlign w:val="center"/>
          </w:tcPr>
          <w:p w14:paraId="7C039E2C">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5" w:type="dxa"/>
            <w:shd w:val="clear" w:color="auto" w:fill="auto"/>
            <w:noWrap w:val="0"/>
            <w:vAlign w:val="center"/>
          </w:tcPr>
          <w:p w14:paraId="0B02A6E9">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防砸雷达</w:t>
            </w:r>
          </w:p>
        </w:tc>
        <w:tc>
          <w:tcPr>
            <w:tcW w:w="795" w:type="dxa"/>
            <w:noWrap w:val="0"/>
            <w:vAlign w:val="center"/>
          </w:tcPr>
          <w:p w14:paraId="13B235FB">
            <w:pPr>
              <w:jc w:val="center"/>
              <w:rPr>
                <w:rFonts w:hint="eastAsia" w:ascii="宋体" w:hAnsi="宋体" w:cs="宋体"/>
                <w:bCs/>
                <w:sz w:val="24"/>
              </w:rPr>
            </w:pPr>
          </w:p>
        </w:tc>
        <w:tc>
          <w:tcPr>
            <w:tcW w:w="750" w:type="dxa"/>
            <w:noWrap w:val="0"/>
            <w:vAlign w:val="center"/>
          </w:tcPr>
          <w:p w14:paraId="25E8263C">
            <w:pPr>
              <w:jc w:val="center"/>
              <w:rPr>
                <w:rFonts w:hint="eastAsia" w:ascii="宋体" w:hAnsi="宋体" w:cs="宋体"/>
                <w:bCs/>
                <w:sz w:val="24"/>
              </w:rPr>
            </w:pPr>
          </w:p>
        </w:tc>
        <w:tc>
          <w:tcPr>
            <w:tcW w:w="1530" w:type="dxa"/>
            <w:noWrap w:val="0"/>
            <w:vAlign w:val="center"/>
          </w:tcPr>
          <w:p w14:paraId="114355FA">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0" cy="1878965"/>
                  <wp:effectExtent l="0" t="0" r="0" b="0"/>
                  <wp:wrapNone/>
                  <wp:docPr id="14" name="Picture_26"/>
                  <wp:cNvGraphicFramePr/>
                  <a:graphic xmlns:a="http://schemas.openxmlformats.org/drawingml/2006/main">
                    <a:graphicData uri="http://schemas.openxmlformats.org/drawingml/2006/picture">
                      <pic:pic xmlns:pic="http://schemas.openxmlformats.org/drawingml/2006/picture">
                        <pic:nvPicPr>
                          <pic:cNvPr id="14" name="Picture_26"/>
                          <pic:cNvPicPr/>
                        </pic:nvPicPr>
                        <pic:blipFill>
                          <a:blip r:embed="rId5"/>
                          <a:stretch>
                            <a:fillRect/>
                          </a:stretch>
                        </pic:blipFill>
                        <pic:spPr>
                          <a:xfrm>
                            <a:off x="0" y="0"/>
                            <a:ext cx="0" cy="18789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0" cy="1878965"/>
                  <wp:effectExtent l="0" t="0" r="0" b="0"/>
                  <wp:wrapNone/>
                  <wp:docPr id="20" name="Picture_26_SpCnt_1"/>
                  <wp:cNvGraphicFramePr/>
                  <a:graphic xmlns:a="http://schemas.openxmlformats.org/drawingml/2006/main">
                    <a:graphicData uri="http://schemas.openxmlformats.org/drawingml/2006/picture">
                      <pic:pic xmlns:pic="http://schemas.openxmlformats.org/drawingml/2006/picture">
                        <pic:nvPicPr>
                          <pic:cNvPr id="20" name="Picture_26_SpCnt_1"/>
                          <pic:cNvPicPr/>
                        </pic:nvPicPr>
                        <pic:blipFill>
                          <a:blip r:embed="rId6"/>
                          <a:stretch>
                            <a:fillRect/>
                          </a:stretch>
                        </pic:blipFill>
                        <pic:spPr>
                          <a:xfrm>
                            <a:off x="0" y="0"/>
                            <a:ext cx="0" cy="18789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123190</wp:posOffset>
                  </wp:positionH>
                  <wp:positionV relativeFrom="paragraph">
                    <wp:posOffset>74295</wp:posOffset>
                  </wp:positionV>
                  <wp:extent cx="654050" cy="975360"/>
                  <wp:effectExtent l="0" t="0" r="12700" b="15240"/>
                  <wp:wrapNone/>
                  <wp:docPr id="21" name="ID_F5AF7F75ACD94797AFC02875EB917584"/>
                  <wp:cNvGraphicFramePr/>
                  <a:graphic xmlns:a="http://schemas.openxmlformats.org/drawingml/2006/main">
                    <a:graphicData uri="http://schemas.openxmlformats.org/drawingml/2006/picture">
                      <pic:pic xmlns:pic="http://schemas.openxmlformats.org/drawingml/2006/picture">
                        <pic:nvPicPr>
                          <pic:cNvPr id="21" name="ID_F5AF7F75ACD94797AFC02875EB917584"/>
                          <pic:cNvPicPr/>
                        </pic:nvPicPr>
                        <pic:blipFill>
                          <a:blip r:embed="rId7"/>
                          <a:stretch>
                            <a:fillRect/>
                          </a:stretch>
                        </pic:blipFill>
                        <pic:spPr>
                          <a:xfrm>
                            <a:off x="0" y="0"/>
                            <a:ext cx="654050" cy="975360"/>
                          </a:xfrm>
                          <a:prstGeom prst="rect">
                            <a:avLst/>
                          </a:prstGeom>
                          <a:noFill/>
                          <a:ln>
                            <a:noFill/>
                          </a:ln>
                        </pic:spPr>
                      </pic:pic>
                    </a:graphicData>
                  </a:graphic>
                </wp:anchor>
              </w:drawing>
            </w:r>
          </w:p>
        </w:tc>
        <w:tc>
          <w:tcPr>
            <w:tcW w:w="6810" w:type="dxa"/>
            <w:noWrap w:val="0"/>
            <w:vAlign w:val="center"/>
          </w:tcPr>
          <w:p w14:paraId="171FE011">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雷达检测距离可调，检测宽度可调，操作方便，通用性强；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无需学习背景，适应更多复杂现场环境；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提供RS485串口或蓝牙通讯功能，手机APP，可对雷达进行在线调试、固件升级，操作更方便；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安装与维护方便，所需人力少，工时短。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采用先进的信号处理技术，可稳定检测到行人和车辆，有效防止“砸车、砸人”事故的发生。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采用LED灯指示雷达工作状态，状态更直观。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自动记录雷达的配置参数，断电重启后可恢复至之前的工作状态；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因室外使用，必须具有良好的耐用性。</w:t>
            </w:r>
          </w:p>
        </w:tc>
        <w:tc>
          <w:tcPr>
            <w:tcW w:w="585" w:type="dxa"/>
            <w:noWrap w:val="0"/>
            <w:vAlign w:val="center"/>
          </w:tcPr>
          <w:p w14:paraId="394A4259">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2654D718">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140F0E64">
            <w:pPr>
              <w:jc w:val="center"/>
              <w:rPr>
                <w:rFonts w:hint="eastAsia" w:ascii="宋体" w:hAnsi="宋体" w:cs="宋体"/>
                <w:bCs/>
                <w:sz w:val="24"/>
              </w:rPr>
            </w:pPr>
          </w:p>
        </w:tc>
        <w:tc>
          <w:tcPr>
            <w:tcW w:w="795" w:type="dxa"/>
            <w:noWrap w:val="0"/>
            <w:vAlign w:val="center"/>
          </w:tcPr>
          <w:p w14:paraId="30C2B1F6">
            <w:pPr>
              <w:jc w:val="center"/>
              <w:rPr>
                <w:rFonts w:hint="eastAsia" w:ascii="宋体" w:hAnsi="宋体" w:cs="宋体"/>
                <w:bCs/>
                <w:sz w:val="24"/>
              </w:rPr>
            </w:pPr>
          </w:p>
        </w:tc>
      </w:tr>
      <w:tr w14:paraId="1A0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2" w:hRule="atLeast"/>
        </w:trPr>
        <w:tc>
          <w:tcPr>
            <w:tcW w:w="690" w:type="dxa"/>
            <w:shd w:val="clear" w:color="auto" w:fill="auto"/>
            <w:noWrap w:val="0"/>
            <w:vAlign w:val="center"/>
          </w:tcPr>
          <w:p w14:paraId="62AFE582">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735" w:type="dxa"/>
            <w:shd w:val="clear" w:color="auto" w:fill="auto"/>
            <w:noWrap w:val="0"/>
            <w:vAlign w:val="center"/>
          </w:tcPr>
          <w:p w14:paraId="19FEDF15">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人脸识别一体机</w:t>
            </w:r>
          </w:p>
        </w:tc>
        <w:tc>
          <w:tcPr>
            <w:tcW w:w="795" w:type="dxa"/>
            <w:noWrap w:val="0"/>
            <w:vAlign w:val="center"/>
          </w:tcPr>
          <w:p w14:paraId="37B5CFB7">
            <w:pPr>
              <w:jc w:val="center"/>
              <w:rPr>
                <w:rFonts w:hint="eastAsia" w:ascii="宋体" w:hAnsi="宋体" w:cs="宋体"/>
                <w:bCs/>
                <w:sz w:val="24"/>
              </w:rPr>
            </w:pPr>
          </w:p>
        </w:tc>
        <w:tc>
          <w:tcPr>
            <w:tcW w:w="750" w:type="dxa"/>
            <w:noWrap w:val="0"/>
            <w:vAlign w:val="center"/>
          </w:tcPr>
          <w:p w14:paraId="091BA78F">
            <w:pPr>
              <w:jc w:val="center"/>
              <w:rPr>
                <w:rFonts w:hint="eastAsia" w:ascii="宋体" w:hAnsi="宋体" w:cs="宋体"/>
                <w:bCs/>
                <w:sz w:val="24"/>
              </w:rPr>
            </w:pPr>
          </w:p>
        </w:tc>
        <w:tc>
          <w:tcPr>
            <w:tcW w:w="1530" w:type="dxa"/>
            <w:noWrap w:val="0"/>
            <w:vAlign w:val="center"/>
          </w:tcPr>
          <w:p w14:paraId="33F9EED4">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97790</wp:posOffset>
                  </wp:positionH>
                  <wp:positionV relativeFrom="paragraph">
                    <wp:posOffset>52070</wp:posOffset>
                  </wp:positionV>
                  <wp:extent cx="695325" cy="1255395"/>
                  <wp:effectExtent l="0" t="0" r="9525" b="1905"/>
                  <wp:wrapNone/>
                  <wp:docPr id="22" name="图片_2"/>
                  <wp:cNvGraphicFramePr/>
                  <a:graphic xmlns:a="http://schemas.openxmlformats.org/drawingml/2006/main">
                    <a:graphicData uri="http://schemas.openxmlformats.org/drawingml/2006/picture">
                      <pic:pic xmlns:pic="http://schemas.openxmlformats.org/drawingml/2006/picture">
                        <pic:nvPicPr>
                          <pic:cNvPr id="22" name="图片_2"/>
                          <pic:cNvPicPr/>
                        </pic:nvPicPr>
                        <pic:blipFill>
                          <a:blip r:embed="rId8"/>
                          <a:stretch>
                            <a:fillRect/>
                          </a:stretch>
                        </pic:blipFill>
                        <pic:spPr>
                          <a:xfrm>
                            <a:off x="0" y="0"/>
                            <a:ext cx="695325" cy="1255395"/>
                          </a:xfrm>
                          <a:prstGeom prst="rect">
                            <a:avLst/>
                          </a:prstGeom>
                          <a:noFill/>
                          <a:ln>
                            <a:noFill/>
                          </a:ln>
                        </pic:spPr>
                      </pic:pic>
                    </a:graphicData>
                  </a:graphic>
                </wp:anchor>
              </w:drawing>
            </w:r>
          </w:p>
        </w:tc>
        <w:tc>
          <w:tcPr>
            <w:tcW w:w="6810" w:type="dxa"/>
            <w:noWrap w:val="0"/>
            <w:vAlign w:val="center"/>
          </w:tcPr>
          <w:p w14:paraId="3F9AC34F">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xml:space="preserve">l 屏幕参数：7 英寸 LCD 触摸显示屏，屏幕比例 9:16，屏幕分辨率 600*1024；l 摄像头参数：采用宽动态 200 万双目摄像头，采用星光级图像传感器，无需白光补光灯，在暗光或无光环境下人脸识别效果不受影响；l 认证方式：支持人脸、刷卡（Mifare 卡/IC 卡、手机 NFC 卡、CPU 卡序列号、身份证卡序列号）、密码认证方式，可外接身份证、指纹、蓝牙、二维码功能模块；l 人脸识别：采用深度学习算法，支持单人或多人识别（最多 5 人同时认证）功能；支持照片、视频防假； 1:N 人脸识别速度＜0.2s，人脸验证准确率≥99%；人脸识别距离＞2m；l 存储容量：本地支持 1 万人脸库、5 万张卡，15 万条事件记录（T 型号支持 10 万人脸库、10 万张卡， 15 万条事件记录）；l 可视对讲：支持和海康互联 APP、室内机、管理机进行可视对讲；支持配置一键呼叫室内机或管理机；支持副门口机或围墙机模式；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l 视频预览：支持管理中心远程视频预览，支持接入 NVR 设备，实现视频监控录像，编码格式 H.264 ；识别界面可配：识别主界面的“呼叫”、“密码”的按键图标可分别配置是否显示；l 认证结果显示可配：支持认证成功界面的“照片”、“姓名”、“工号”信息可配置是否显示；且支持姓名和工号的脱敏显示l 认证结果语音自定义：集成文字转语音（TTS）和语音合成技术，认证成功和认证失败的语音可以分别配置 4 个时间段进行自定义播报，同时认证成功的语音可叠加播报姓名；l 主题模式：支持认证模式和广告模式的主题模式；ü 认证模式：认证界面显示预览画面，认证时显示认证人员的姓名、工号、人脸图片等信息；ü 广告模式：支持图片（JPG 格式，分辨率建议 600*640，最多 8 张轮播）广告信息播放，且支持配置人脸识别失败时是否显示预览画面；l 外接安全模块：支持通过经销私有 RS485 接入门控安全模块，防止主机被恶意破坏的情况下，门锁不被打开；l 外接读卡器：支持通过韦根（W26/W34/W27/W35）接口外接 1 个读卡器；l 读卡器模式：支持通过经销私有 RS485 或韦根（W26/W34/W27/W35）接入门禁控制器，作为读卡器模式使用；l 门禁计划模板：支持 255 组计划模板管理，128 个周计划，1024 个假日计划；支持常开、常闭时段管理；l 多重认证：支持多个人员认证（人脸、刷卡等）通过后才开门；l 非授权人员核验：支持中心下发非授权人员信息，实现本地非授权人员核验；l 报警功能：设备支持防拆报警、门被外力开起报警、胁迫卡和胁迫密码报警、非授权人员报警等；l 事件上传：在线状态下将设备认证结果及联动抓拍照片实时上传给平台，支持断网续传功能，设备离线状态下产生事件在与平台连接后会重新上传; l 单机使用：设备可进行本地管理，支持本地注册人脸、查询、设置、管理设备参数等；l WEB 管理：支持手机及 PC 端 Web 操作，可进行人员管理、认证配置等操作。 </w:t>
            </w:r>
          </w:p>
        </w:tc>
        <w:tc>
          <w:tcPr>
            <w:tcW w:w="585" w:type="dxa"/>
            <w:noWrap w:val="0"/>
            <w:vAlign w:val="center"/>
          </w:tcPr>
          <w:p w14:paraId="340EA72C">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5897A394">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1</w:t>
            </w:r>
          </w:p>
        </w:tc>
        <w:tc>
          <w:tcPr>
            <w:tcW w:w="915" w:type="dxa"/>
            <w:noWrap w:val="0"/>
            <w:vAlign w:val="center"/>
          </w:tcPr>
          <w:p w14:paraId="7546E0E0">
            <w:pPr>
              <w:jc w:val="center"/>
              <w:rPr>
                <w:rFonts w:hint="eastAsia" w:ascii="宋体" w:hAnsi="宋体" w:cs="宋体"/>
                <w:bCs/>
                <w:sz w:val="24"/>
              </w:rPr>
            </w:pPr>
          </w:p>
        </w:tc>
        <w:tc>
          <w:tcPr>
            <w:tcW w:w="795" w:type="dxa"/>
            <w:noWrap w:val="0"/>
            <w:vAlign w:val="center"/>
          </w:tcPr>
          <w:p w14:paraId="4CFCED73">
            <w:pPr>
              <w:jc w:val="center"/>
              <w:rPr>
                <w:rFonts w:hint="eastAsia" w:ascii="宋体" w:hAnsi="宋体" w:cs="宋体"/>
                <w:bCs/>
                <w:sz w:val="24"/>
              </w:rPr>
            </w:pPr>
          </w:p>
        </w:tc>
      </w:tr>
      <w:tr w14:paraId="1AF3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690" w:type="dxa"/>
            <w:shd w:val="clear" w:color="auto" w:fill="auto"/>
            <w:noWrap w:val="0"/>
            <w:vAlign w:val="center"/>
          </w:tcPr>
          <w:p w14:paraId="1AC663E9">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735" w:type="dxa"/>
            <w:shd w:val="clear" w:color="auto" w:fill="auto"/>
            <w:noWrap w:val="0"/>
            <w:vAlign w:val="center"/>
          </w:tcPr>
          <w:p w14:paraId="3D5AA3E7">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门禁立柱</w:t>
            </w:r>
          </w:p>
        </w:tc>
        <w:tc>
          <w:tcPr>
            <w:tcW w:w="795" w:type="dxa"/>
            <w:noWrap w:val="0"/>
            <w:vAlign w:val="center"/>
          </w:tcPr>
          <w:p w14:paraId="34B2567D">
            <w:pPr>
              <w:jc w:val="center"/>
              <w:rPr>
                <w:rFonts w:hint="eastAsia" w:ascii="宋体" w:hAnsi="宋体" w:cs="宋体"/>
                <w:bCs/>
                <w:sz w:val="24"/>
              </w:rPr>
            </w:pPr>
          </w:p>
        </w:tc>
        <w:tc>
          <w:tcPr>
            <w:tcW w:w="750" w:type="dxa"/>
            <w:noWrap w:val="0"/>
            <w:vAlign w:val="center"/>
          </w:tcPr>
          <w:p w14:paraId="0221DAA0">
            <w:pPr>
              <w:jc w:val="center"/>
              <w:rPr>
                <w:rFonts w:hint="eastAsia" w:ascii="宋体" w:hAnsi="宋体" w:cs="宋体"/>
                <w:bCs/>
                <w:sz w:val="24"/>
              </w:rPr>
            </w:pPr>
          </w:p>
        </w:tc>
        <w:tc>
          <w:tcPr>
            <w:tcW w:w="1530" w:type="dxa"/>
            <w:noWrap w:val="0"/>
            <w:vAlign w:val="center"/>
          </w:tcPr>
          <w:p w14:paraId="19BB73AF">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314960</wp:posOffset>
                  </wp:positionH>
                  <wp:positionV relativeFrom="paragraph">
                    <wp:posOffset>-50165</wp:posOffset>
                  </wp:positionV>
                  <wp:extent cx="190500" cy="393700"/>
                  <wp:effectExtent l="0" t="0" r="0" b="6350"/>
                  <wp:wrapNone/>
                  <wp:docPr id="23" name="ID_4A62E45E61904F3FABA0E8390D58448D"/>
                  <wp:cNvGraphicFramePr/>
                  <a:graphic xmlns:a="http://schemas.openxmlformats.org/drawingml/2006/main">
                    <a:graphicData uri="http://schemas.openxmlformats.org/drawingml/2006/picture">
                      <pic:pic xmlns:pic="http://schemas.openxmlformats.org/drawingml/2006/picture">
                        <pic:nvPicPr>
                          <pic:cNvPr id="23" name="ID_4A62E45E61904F3FABA0E8390D58448D"/>
                          <pic:cNvPicPr/>
                        </pic:nvPicPr>
                        <pic:blipFill>
                          <a:blip r:embed="rId9"/>
                          <a:stretch>
                            <a:fillRect/>
                          </a:stretch>
                        </pic:blipFill>
                        <pic:spPr>
                          <a:xfrm>
                            <a:off x="0" y="0"/>
                            <a:ext cx="190500" cy="393700"/>
                          </a:xfrm>
                          <a:prstGeom prst="rect">
                            <a:avLst/>
                          </a:prstGeom>
                          <a:noFill/>
                          <a:ln>
                            <a:noFill/>
                          </a:ln>
                        </pic:spPr>
                      </pic:pic>
                    </a:graphicData>
                  </a:graphic>
                </wp:anchor>
              </w:drawing>
            </w:r>
          </w:p>
        </w:tc>
        <w:tc>
          <w:tcPr>
            <w:tcW w:w="6810" w:type="dxa"/>
            <w:noWrap w:val="0"/>
            <w:vAlign w:val="center"/>
          </w:tcPr>
          <w:p w14:paraId="10932142">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立式安装</w:t>
            </w:r>
          </w:p>
        </w:tc>
        <w:tc>
          <w:tcPr>
            <w:tcW w:w="585" w:type="dxa"/>
            <w:noWrap w:val="0"/>
            <w:vAlign w:val="center"/>
          </w:tcPr>
          <w:p w14:paraId="28CF688D">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0D5DB0CC">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100A0967">
            <w:pPr>
              <w:jc w:val="center"/>
              <w:rPr>
                <w:rFonts w:hint="eastAsia" w:ascii="宋体" w:hAnsi="宋体" w:cs="宋体"/>
                <w:bCs/>
                <w:sz w:val="24"/>
              </w:rPr>
            </w:pPr>
          </w:p>
        </w:tc>
        <w:tc>
          <w:tcPr>
            <w:tcW w:w="795" w:type="dxa"/>
            <w:noWrap w:val="0"/>
            <w:vAlign w:val="center"/>
          </w:tcPr>
          <w:p w14:paraId="26F8B656">
            <w:pPr>
              <w:jc w:val="center"/>
              <w:rPr>
                <w:rFonts w:hint="eastAsia" w:ascii="宋体" w:hAnsi="宋体" w:cs="宋体"/>
                <w:bCs/>
                <w:sz w:val="24"/>
              </w:rPr>
            </w:pPr>
          </w:p>
        </w:tc>
      </w:tr>
      <w:tr w14:paraId="336D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690" w:type="dxa"/>
            <w:noWrap w:val="0"/>
            <w:vAlign w:val="center"/>
          </w:tcPr>
          <w:p w14:paraId="4FE51B8E">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735" w:type="dxa"/>
            <w:noWrap w:val="0"/>
            <w:vAlign w:val="center"/>
          </w:tcPr>
          <w:p w14:paraId="3A733F0F">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门禁电源</w:t>
            </w:r>
          </w:p>
        </w:tc>
        <w:tc>
          <w:tcPr>
            <w:tcW w:w="795" w:type="dxa"/>
            <w:noWrap w:val="0"/>
            <w:vAlign w:val="center"/>
          </w:tcPr>
          <w:p w14:paraId="4193A795">
            <w:pPr>
              <w:jc w:val="center"/>
              <w:rPr>
                <w:rFonts w:hint="eastAsia" w:ascii="宋体" w:hAnsi="宋体" w:cs="宋体"/>
                <w:bCs/>
                <w:sz w:val="24"/>
              </w:rPr>
            </w:pPr>
          </w:p>
        </w:tc>
        <w:tc>
          <w:tcPr>
            <w:tcW w:w="750" w:type="dxa"/>
            <w:noWrap w:val="0"/>
            <w:vAlign w:val="center"/>
          </w:tcPr>
          <w:p w14:paraId="4B42DA97">
            <w:pPr>
              <w:jc w:val="center"/>
              <w:rPr>
                <w:rFonts w:hint="eastAsia" w:ascii="宋体" w:hAnsi="宋体" w:cs="宋体"/>
                <w:bCs/>
                <w:sz w:val="24"/>
              </w:rPr>
            </w:pPr>
          </w:p>
        </w:tc>
        <w:tc>
          <w:tcPr>
            <w:tcW w:w="1530" w:type="dxa"/>
            <w:noWrap w:val="0"/>
            <w:vAlign w:val="center"/>
          </w:tcPr>
          <w:p w14:paraId="2464AAE2">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34925</wp:posOffset>
                  </wp:positionH>
                  <wp:positionV relativeFrom="paragraph">
                    <wp:posOffset>-47625</wp:posOffset>
                  </wp:positionV>
                  <wp:extent cx="630555" cy="320675"/>
                  <wp:effectExtent l="0" t="0" r="17145" b="3175"/>
                  <wp:wrapNone/>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10"/>
                          <a:stretch>
                            <a:fillRect/>
                          </a:stretch>
                        </pic:blipFill>
                        <pic:spPr>
                          <a:xfrm>
                            <a:off x="0" y="0"/>
                            <a:ext cx="630555" cy="320675"/>
                          </a:xfrm>
                          <a:prstGeom prst="rect">
                            <a:avLst/>
                          </a:prstGeom>
                          <a:noFill/>
                          <a:ln>
                            <a:noFill/>
                          </a:ln>
                        </pic:spPr>
                      </pic:pic>
                    </a:graphicData>
                  </a:graphic>
                </wp:anchor>
              </w:drawing>
            </w:r>
          </w:p>
        </w:tc>
        <w:tc>
          <w:tcPr>
            <w:tcW w:w="6810" w:type="dxa"/>
            <w:noWrap w:val="0"/>
            <w:vAlign w:val="center"/>
          </w:tcPr>
          <w:p w14:paraId="4D6966FA">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输入电压AC110-240V;输入频率50-60Hz；输出电压DC12V,输出电流3A</w:t>
            </w:r>
          </w:p>
        </w:tc>
        <w:tc>
          <w:tcPr>
            <w:tcW w:w="585" w:type="dxa"/>
            <w:noWrap w:val="0"/>
            <w:vAlign w:val="center"/>
          </w:tcPr>
          <w:p w14:paraId="3321532F">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75A5150E">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342C0211">
            <w:pPr>
              <w:jc w:val="center"/>
              <w:rPr>
                <w:rFonts w:hint="eastAsia" w:ascii="宋体" w:hAnsi="宋体" w:cs="宋体"/>
                <w:bCs/>
                <w:sz w:val="24"/>
              </w:rPr>
            </w:pPr>
          </w:p>
        </w:tc>
        <w:tc>
          <w:tcPr>
            <w:tcW w:w="795" w:type="dxa"/>
            <w:noWrap w:val="0"/>
            <w:vAlign w:val="center"/>
          </w:tcPr>
          <w:p w14:paraId="39E0D494">
            <w:pPr>
              <w:jc w:val="center"/>
              <w:rPr>
                <w:rFonts w:hint="eastAsia" w:ascii="宋体" w:hAnsi="宋体" w:cs="宋体"/>
                <w:bCs/>
                <w:sz w:val="24"/>
              </w:rPr>
            </w:pPr>
          </w:p>
        </w:tc>
      </w:tr>
      <w:tr w14:paraId="099D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90" w:type="dxa"/>
            <w:noWrap w:val="0"/>
            <w:vAlign w:val="center"/>
          </w:tcPr>
          <w:p w14:paraId="16CA3D81">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35" w:type="dxa"/>
            <w:noWrap w:val="0"/>
            <w:vAlign w:val="center"/>
          </w:tcPr>
          <w:p w14:paraId="57F3C082">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val="0"/>
                <w:bCs w:val="0"/>
                <w:i w:val="0"/>
                <w:iCs w:val="0"/>
                <w:color w:val="000000"/>
                <w:kern w:val="0"/>
                <w:sz w:val="24"/>
                <w:szCs w:val="24"/>
                <w:u w:val="none"/>
                <w:lang w:val="en-US" w:eastAsia="zh-CN" w:bidi="ar"/>
              </w:rPr>
              <w:t>行人安检亭</w:t>
            </w:r>
          </w:p>
        </w:tc>
        <w:tc>
          <w:tcPr>
            <w:tcW w:w="795" w:type="dxa"/>
            <w:noWrap w:val="0"/>
            <w:vAlign w:val="center"/>
          </w:tcPr>
          <w:p w14:paraId="0AC6B414">
            <w:pPr>
              <w:jc w:val="center"/>
              <w:rPr>
                <w:rFonts w:hint="eastAsia" w:ascii="宋体" w:hAnsi="宋体" w:cs="宋体"/>
                <w:bCs/>
                <w:sz w:val="24"/>
              </w:rPr>
            </w:pPr>
          </w:p>
        </w:tc>
        <w:tc>
          <w:tcPr>
            <w:tcW w:w="750" w:type="dxa"/>
            <w:noWrap w:val="0"/>
            <w:vAlign w:val="center"/>
          </w:tcPr>
          <w:p w14:paraId="561BF2B0">
            <w:pPr>
              <w:jc w:val="center"/>
              <w:rPr>
                <w:rFonts w:hint="eastAsia" w:ascii="宋体" w:hAnsi="宋体" w:cs="宋体"/>
                <w:bCs/>
                <w:sz w:val="24"/>
              </w:rPr>
            </w:pPr>
          </w:p>
        </w:tc>
        <w:tc>
          <w:tcPr>
            <w:tcW w:w="1530" w:type="dxa"/>
            <w:noWrap w:val="0"/>
            <w:vAlign w:val="center"/>
          </w:tcPr>
          <w:p w14:paraId="645A92F3">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27305</wp:posOffset>
                  </wp:positionH>
                  <wp:positionV relativeFrom="paragraph">
                    <wp:posOffset>-132715</wp:posOffset>
                  </wp:positionV>
                  <wp:extent cx="561975" cy="569595"/>
                  <wp:effectExtent l="0" t="0" r="9525" b="1905"/>
                  <wp:wrapNone/>
                  <wp:docPr id="25" name="图片_9"/>
                  <wp:cNvGraphicFramePr/>
                  <a:graphic xmlns:a="http://schemas.openxmlformats.org/drawingml/2006/main">
                    <a:graphicData uri="http://schemas.openxmlformats.org/drawingml/2006/picture">
                      <pic:pic xmlns:pic="http://schemas.openxmlformats.org/drawingml/2006/picture">
                        <pic:nvPicPr>
                          <pic:cNvPr id="25" name="图片_9"/>
                          <pic:cNvPicPr/>
                        </pic:nvPicPr>
                        <pic:blipFill>
                          <a:blip r:embed="rId11"/>
                          <a:stretch>
                            <a:fillRect/>
                          </a:stretch>
                        </pic:blipFill>
                        <pic:spPr>
                          <a:xfrm>
                            <a:off x="0" y="0"/>
                            <a:ext cx="561975" cy="569595"/>
                          </a:xfrm>
                          <a:prstGeom prst="rect">
                            <a:avLst/>
                          </a:prstGeom>
                          <a:noFill/>
                          <a:ln>
                            <a:noFill/>
                          </a:ln>
                        </pic:spPr>
                      </pic:pic>
                    </a:graphicData>
                  </a:graphic>
                </wp:anchor>
              </w:drawing>
            </w:r>
          </w:p>
        </w:tc>
        <w:tc>
          <w:tcPr>
            <w:tcW w:w="6810" w:type="dxa"/>
            <w:noWrap w:val="0"/>
            <w:vAlign w:val="center"/>
          </w:tcPr>
          <w:p w14:paraId="50C723C6">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安检机移装至本亭内,安检机需占地9平米；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非机动车道有延伸挑檐，为非机动车道闸机提供避雨；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安检亭主体结构为钢结构，外墙面为金属复合板，材质具备耐候性、防腐蚀的特点；一侧墙面镶嵌钢化玻璃，搭配黑色金属收边条；通道两头采用铝合金加玻璃，上部开窗通风；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安检亭外观和医院原有岗位亭保持一致。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进出口两端留1.5*2.2门洞，无需装门。</w:t>
            </w:r>
          </w:p>
        </w:tc>
        <w:tc>
          <w:tcPr>
            <w:tcW w:w="585" w:type="dxa"/>
            <w:noWrap w:val="0"/>
            <w:vAlign w:val="center"/>
          </w:tcPr>
          <w:p w14:paraId="00A0124A">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平米</w:t>
            </w:r>
          </w:p>
        </w:tc>
        <w:tc>
          <w:tcPr>
            <w:tcW w:w="780" w:type="dxa"/>
            <w:noWrap w:val="0"/>
            <w:vAlign w:val="center"/>
          </w:tcPr>
          <w:p w14:paraId="5335D8D5">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 xml:space="preserve">12.25 </w:t>
            </w:r>
          </w:p>
        </w:tc>
        <w:tc>
          <w:tcPr>
            <w:tcW w:w="915" w:type="dxa"/>
            <w:noWrap w:val="0"/>
            <w:vAlign w:val="center"/>
          </w:tcPr>
          <w:p w14:paraId="5FE0BA94">
            <w:pPr>
              <w:jc w:val="center"/>
              <w:rPr>
                <w:rFonts w:hint="eastAsia" w:ascii="宋体" w:hAnsi="宋体" w:cs="宋体"/>
                <w:bCs/>
                <w:sz w:val="24"/>
              </w:rPr>
            </w:pPr>
          </w:p>
        </w:tc>
        <w:tc>
          <w:tcPr>
            <w:tcW w:w="795" w:type="dxa"/>
            <w:noWrap w:val="0"/>
            <w:vAlign w:val="center"/>
          </w:tcPr>
          <w:p w14:paraId="42B020EB">
            <w:pPr>
              <w:jc w:val="center"/>
              <w:rPr>
                <w:rFonts w:hint="eastAsia" w:ascii="宋体" w:hAnsi="宋体" w:cs="宋体"/>
                <w:bCs/>
                <w:sz w:val="24"/>
              </w:rPr>
            </w:pPr>
          </w:p>
        </w:tc>
      </w:tr>
      <w:tr w14:paraId="089D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690" w:type="dxa"/>
            <w:noWrap w:val="0"/>
            <w:vAlign w:val="center"/>
          </w:tcPr>
          <w:p w14:paraId="7F72B2DF">
            <w:pPr>
              <w:jc w:val="center"/>
              <w:rPr>
                <w:rFonts w:hint="default" w:ascii="宋体" w:hAnsi="宋体" w:cs="宋体" w:eastAsiaTheme="minorEastAsia"/>
                <w:kern w:val="0"/>
                <w:sz w:val="24"/>
                <w:lang w:val="en-US" w:eastAsia="zh-CN"/>
              </w:rPr>
            </w:pPr>
          </w:p>
        </w:tc>
        <w:tc>
          <w:tcPr>
            <w:tcW w:w="735" w:type="dxa"/>
            <w:noWrap w:val="0"/>
            <w:vAlign w:val="center"/>
          </w:tcPr>
          <w:p w14:paraId="624ED9EC">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安检机移装</w:t>
            </w:r>
          </w:p>
        </w:tc>
        <w:tc>
          <w:tcPr>
            <w:tcW w:w="795" w:type="dxa"/>
            <w:noWrap w:val="0"/>
            <w:vAlign w:val="center"/>
          </w:tcPr>
          <w:p w14:paraId="280C1244">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w:t>
            </w:r>
          </w:p>
        </w:tc>
        <w:tc>
          <w:tcPr>
            <w:tcW w:w="750" w:type="dxa"/>
            <w:noWrap w:val="0"/>
            <w:vAlign w:val="center"/>
          </w:tcPr>
          <w:p w14:paraId="356AA663">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安检机移装</w:t>
            </w:r>
          </w:p>
        </w:tc>
        <w:tc>
          <w:tcPr>
            <w:tcW w:w="1530" w:type="dxa"/>
            <w:noWrap w:val="0"/>
            <w:vAlign w:val="center"/>
          </w:tcPr>
          <w:p w14:paraId="61C0FA7E">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安检机移装</w:t>
            </w:r>
          </w:p>
        </w:tc>
        <w:tc>
          <w:tcPr>
            <w:tcW w:w="6810" w:type="dxa"/>
            <w:noWrap w:val="0"/>
            <w:vAlign w:val="center"/>
          </w:tcPr>
          <w:p w14:paraId="39F406D6">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安检机移装,含设备电源铺设等其余费用。</w:t>
            </w:r>
          </w:p>
        </w:tc>
        <w:tc>
          <w:tcPr>
            <w:tcW w:w="585" w:type="dxa"/>
            <w:noWrap w:val="0"/>
            <w:vAlign w:val="center"/>
          </w:tcPr>
          <w:p w14:paraId="60FA6460">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0BD3ECFF">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w:t>
            </w:r>
          </w:p>
        </w:tc>
        <w:tc>
          <w:tcPr>
            <w:tcW w:w="915" w:type="dxa"/>
            <w:noWrap w:val="0"/>
            <w:vAlign w:val="center"/>
          </w:tcPr>
          <w:p w14:paraId="26C15AEF">
            <w:pPr>
              <w:jc w:val="center"/>
              <w:rPr>
                <w:rFonts w:hint="eastAsia" w:ascii="宋体" w:hAnsi="宋体" w:cs="宋体"/>
                <w:bCs/>
                <w:sz w:val="24"/>
              </w:rPr>
            </w:pPr>
          </w:p>
        </w:tc>
        <w:tc>
          <w:tcPr>
            <w:tcW w:w="795" w:type="dxa"/>
            <w:noWrap w:val="0"/>
            <w:vAlign w:val="center"/>
          </w:tcPr>
          <w:p w14:paraId="4CE3231A">
            <w:pPr>
              <w:jc w:val="center"/>
              <w:rPr>
                <w:rFonts w:hint="eastAsia" w:ascii="宋体" w:hAnsi="宋体" w:cs="宋体"/>
                <w:bCs/>
                <w:sz w:val="24"/>
              </w:rPr>
            </w:pPr>
          </w:p>
        </w:tc>
      </w:tr>
      <w:tr w14:paraId="0494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90" w:type="dxa"/>
            <w:noWrap w:val="0"/>
            <w:vAlign w:val="center"/>
          </w:tcPr>
          <w:p w14:paraId="39A09874">
            <w:pPr>
              <w:jc w:val="center"/>
              <w:rPr>
                <w:rFonts w:hint="default" w:ascii="宋体" w:hAnsi="宋体" w:cs="宋体" w:eastAsiaTheme="minorEastAsia"/>
                <w:kern w:val="0"/>
                <w:sz w:val="24"/>
                <w:lang w:val="en-US" w:eastAsia="zh-CN"/>
              </w:rPr>
            </w:pPr>
          </w:p>
        </w:tc>
        <w:tc>
          <w:tcPr>
            <w:tcW w:w="735" w:type="dxa"/>
            <w:noWrap w:val="0"/>
            <w:vAlign w:val="center"/>
          </w:tcPr>
          <w:p w14:paraId="56E47570">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其余费用</w:t>
            </w:r>
          </w:p>
        </w:tc>
        <w:tc>
          <w:tcPr>
            <w:tcW w:w="795" w:type="dxa"/>
            <w:noWrap w:val="0"/>
            <w:vAlign w:val="center"/>
          </w:tcPr>
          <w:p w14:paraId="676BC118">
            <w:pPr>
              <w:jc w:val="center"/>
              <w:rPr>
                <w:rFonts w:hint="eastAsia" w:ascii="宋体" w:hAnsi="宋体" w:cs="宋体"/>
                <w:bCs/>
                <w:sz w:val="24"/>
              </w:rPr>
            </w:pPr>
          </w:p>
        </w:tc>
        <w:tc>
          <w:tcPr>
            <w:tcW w:w="750" w:type="dxa"/>
            <w:noWrap w:val="0"/>
            <w:vAlign w:val="center"/>
          </w:tcPr>
          <w:p w14:paraId="45FF047E">
            <w:pPr>
              <w:jc w:val="center"/>
              <w:rPr>
                <w:rFonts w:hint="eastAsia" w:ascii="宋体" w:hAnsi="宋体" w:cs="宋体"/>
                <w:bCs/>
                <w:sz w:val="24"/>
              </w:rPr>
            </w:pPr>
          </w:p>
        </w:tc>
        <w:tc>
          <w:tcPr>
            <w:tcW w:w="1530" w:type="dxa"/>
            <w:noWrap w:val="0"/>
            <w:vAlign w:val="center"/>
          </w:tcPr>
          <w:p w14:paraId="2455C893">
            <w:pPr>
              <w:jc w:val="center"/>
              <w:rPr>
                <w:rFonts w:hint="eastAsia" w:ascii="宋体" w:hAnsi="宋体" w:cs="宋体"/>
                <w:bCs/>
                <w:sz w:val="24"/>
              </w:rPr>
            </w:pPr>
          </w:p>
        </w:tc>
        <w:tc>
          <w:tcPr>
            <w:tcW w:w="6810" w:type="dxa"/>
            <w:noWrap w:val="0"/>
            <w:vAlign w:val="center"/>
          </w:tcPr>
          <w:p w14:paraId="58FEB481">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含所有设备安装及配套实施（如：道闸机服务器、交换机、设备电源、网线等）</w:t>
            </w:r>
          </w:p>
        </w:tc>
        <w:tc>
          <w:tcPr>
            <w:tcW w:w="585" w:type="dxa"/>
            <w:noWrap w:val="0"/>
            <w:vAlign w:val="center"/>
          </w:tcPr>
          <w:p w14:paraId="4524F257">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3C5A2AE1">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w:t>
            </w:r>
          </w:p>
        </w:tc>
        <w:tc>
          <w:tcPr>
            <w:tcW w:w="915" w:type="dxa"/>
            <w:noWrap w:val="0"/>
            <w:vAlign w:val="center"/>
          </w:tcPr>
          <w:p w14:paraId="10FCF823">
            <w:pPr>
              <w:jc w:val="center"/>
              <w:rPr>
                <w:rFonts w:hint="eastAsia" w:ascii="宋体" w:hAnsi="宋体" w:cs="宋体"/>
                <w:bCs/>
                <w:sz w:val="24"/>
              </w:rPr>
            </w:pPr>
          </w:p>
        </w:tc>
        <w:tc>
          <w:tcPr>
            <w:tcW w:w="795" w:type="dxa"/>
            <w:noWrap w:val="0"/>
            <w:vAlign w:val="center"/>
          </w:tcPr>
          <w:p w14:paraId="0E4E8321">
            <w:pPr>
              <w:jc w:val="center"/>
              <w:rPr>
                <w:rFonts w:hint="eastAsia" w:ascii="宋体" w:hAnsi="宋体" w:cs="宋体"/>
                <w:bCs/>
                <w:sz w:val="24"/>
              </w:rPr>
            </w:pPr>
          </w:p>
        </w:tc>
      </w:tr>
      <w:tr w14:paraId="248F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690" w:type="dxa"/>
            <w:noWrap w:val="0"/>
            <w:vAlign w:val="center"/>
          </w:tcPr>
          <w:p w14:paraId="24095931">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35" w:type="dxa"/>
            <w:noWrap w:val="0"/>
            <w:vAlign w:val="center"/>
          </w:tcPr>
          <w:p w14:paraId="260A7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9885" w:type="dxa"/>
            <w:gridSpan w:val="4"/>
            <w:noWrap w:val="0"/>
            <w:vAlign w:val="center"/>
          </w:tcPr>
          <w:p w14:paraId="43172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以上设备含36个月免费维保</w:t>
            </w:r>
          </w:p>
        </w:tc>
        <w:tc>
          <w:tcPr>
            <w:tcW w:w="1365" w:type="dxa"/>
            <w:gridSpan w:val="2"/>
            <w:noWrap w:val="0"/>
            <w:vAlign w:val="center"/>
          </w:tcPr>
          <w:p w14:paraId="6CF293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总合计</w:t>
            </w:r>
          </w:p>
        </w:tc>
        <w:tc>
          <w:tcPr>
            <w:tcW w:w="1710" w:type="dxa"/>
            <w:gridSpan w:val="2"/>
            <w:noWrap w:val="0"/>
            <w:vAlign w:val="center"/>
          </w:tcPr>
          <w:p w14:paraId="6C54905E">
            <w:pPr>
              <w:jc w:val="center"/>
              <w:rPr>
                <w:rFonts w:hint="eastAsia" w:ascii="宋体" w:hAnsi="宋体" w:cs="宋体"/>
                <w:bCs/>
                <w:sz w:val="24"/>
              </w:rPr>
            </w:pPr>
          </w:p>
        </w:tc>
      </w:tr>
    </w:tbl>
    <w:p w14:paraId="18B30F29">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i w:val="0"/>
          <w:iCs w:val="0"/>
          <w:caps w:val="0"/>
          <w:color w:val="auto"/>
          <w:spacing w:val="0"/>
          <w:sz w:val="28"/>
          <w:szCs w:val="28"/>
          <w:shd w:val="clear" w:color="auto" w:fill="FFFFFF"/>
          <w:lang w:val="en-US" w:eastAsia="zh-CN"/>
        </w:rPr>
      </w:pPr>
    </w:p>
    <w:p w14:paraId="11D66E8D">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i w:val="0"/>
          <w:iCs w:val="0"/>
          <w:caps w:val="0"/>
          <w:color w:val="auto"/>
          <w:spacing w:val="0"/>
          <w:sz w:val="28"/>
          <w:szCs w:val="28"/>
          <w:shd w:val="clear" w:color="auto" w:fill="FFFFFF"/>
          <w:lang w:val="en-US" w:eastAsia="zh-CN"/>
        </w:rPr>
      </w:pPr>
    </w:p>
    <w:p w14:paraId="3A361346">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i w:val="0"/>
          <w:iCs w:val="0"/>
          <w:caps w:val="0"/>
          <w:color w:val="auto"/>
          <w:spacing w:val="0"/>
          <w:sz w:val="28"/>
          <w:szCs w:val="28"/>
          <w:shd w:val="clear" w:color="auto" w:fill="FFFFFF"/>
          <w:lang w:val="en-US" w:eastAsia="zh-CN"/>
        </w:rPr>
      </w:pPr>
    </w:p>
    <w:p w14:paraId="1C2B2503">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sz w:val="24"/>
        </w:rPr>
      </w:pPr>
      <w:r>
        <w:rPr>
          <w:rFonts w:hint="eastAsia" w:ascii="宋体" w:hAnsi="宋体" w:cs="宋体"/>
          <w:i w:val="0"/>
          <w:iCs w:val="0"/>
          <w:caps w:val="0"/>
          <w:color w:val="auto"/>
          <w:spacing w:val="0"/>
          <w:sz w:val="28"/>
          <w:szCs w:val="28"/>
          <w:shd w:val="clear" w:color="auto" w:fill="FFFFFF"/>
          <w:lang w:val="en-US" w:eastAsia="zh-CN"/>
        </w:rPr>
        <w:t>（2）2-4号门配置单</w:t>
      </w:r>
    </w:p>
    <w:tbl>
      <w:tblPr>
        <w:tblStyle w:val="8"/>
        <w:tblpPr w:leftFromText="180" w:rightFromText="180" w:vertAnchor="text" w:horzAnchor="page" w:tblpX="1253" w:tblpY="354"/>
        <w:tblOverlap w:val="never"/>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35"/>
        <w:gridCol w:w="795"/>
        <w:gridCol w:w="750"/>
        <w:gridCol w:w="1530"/>
        <w:gridCol w:w="6809"/>
        <w:gridCol w:w="585"/>
        <w:gridCol w:w="780"/>
        <w:gridCol w:w="915"/>
        <w:gridCol w:w="795"/>
      </w:tblGrid>
      <w:tr w14:paraId="096A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0" w:type="dxa"/>
            <w:noWrap w:val="0"/>
            <w:vAlign w:val="center"/>
          </w:tcPr>
          <w:p w14:paraId="46EFB458">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735" w:type="dxa"/>
            <w:noWrap w:val="0"/>
            <w:vAlign w:val="center"/>
          </w:tcPr>
          <w:p w14:paraId="6D2CABDC">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设备名称</w:t>
            </w:r>
          </w:p>
        </w:tc>
        <w:tc>
          <w:tcPr>
            <w:tcW w:w="795" w:type="dxa"/>
            <w:noWrap w:val="0"/>
            <w:vAlign w:val="center"/>
          </w:tcPr>
          <w:p w14:paraId="6D420E3F">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品牌</w:t>
            </w:r>
          </w:p>
        </w:tc>
        <w:tc>
          <w:tcPr>
            <w:tcW w:w="750" w:type="dxa"/>
            <w:noWrap w:val="0"/>
            <w:vAlign w:val="center"/>
          </w:tcPr>
          <w:p w14:paraId="0BDCD44A">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型号</w:t>
            </w:r>
          </w:p>
        </w:tc>
        <w:tc>
          <w:tcPr>
            <w:tcW w:w="1530" w:type="dxa"/>
            <w:noWrap w:val="0"/>
            <w:vAlign w:val="center"/>
          </w:tcPr>
          <w:p w14:paraId="7FB26C79">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产品参考图片</w:t>
            </w:r>
          </w:p>
        </w:tc>
        <w:tc>
          <w:tcPr>
            <w:tcW w:w="6810" w:type="dxa"/>
            <w:noWrap w:val="0"/>
            <w:vAlign w:val="center"/>
          </w:tcPr>
          <w:p w14:paraId="3D0C424B">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描述</w:t>
            </w:r>
          </w:p>
        </w:tc>
        <w:tc>
          <w:tcPr>
            <w:tcW w:w="585" w:type="dxa"/>
            <w:noWrap w:val="0"/>
            <w:vAlign w:val="center"/>
          </w:tcPr>
          <w:p w14:paraId="08C0EBF4">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780" w:type="dxa"/>
            <w:noWrap w:val="0"/>
            <w:vAlign w:val="center"/>
          </w:tcPr>
          <w:p w14:paraId="55C46E98">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915" w:type="dxa"/>
            <w:noWrap w:val="0"/>
            <w:vAlign w:val="center"/>
          </w:tcPr>
          <w:p w14:paraId="0184BF52">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单价</w:t>
            </w:r>
          </w:p>
        </w:tc>
        <w:tc>
          <w:tcPr>
            <w:tcW w:w="795" w:type="dxa"/>
            <w:noWrap w:val="0"/>
            <w:vAlign w:val="center"/>
          </w:tcPr>
          <w:p w14:paraId="2DF4F997">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总价</w:t>
            </w:r>
          </w:p>
        </w:tc>
      </w:tr>
      <w:tr w14:paraId="298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90" w:type="dxa"/>
            <w:shd w:val="clear" w:color="auto" w:fill="auto"/>
            <w:noWrap w:val="0"/>
            <w:vAlign w:val="center"/>
          </w:tcPr>
          <w:p w14:paraId="1B501D08">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35" w:type="dxa"/>
            <w:shd w:val="clear" w:color="auto" w:fill="auto"/>
            <w:noWrap w:val="0"/>
            <w:vAlign w:val="center"/>
          </w:tcPr>
          <w:p w14:paraId="7D2322E1">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道闸</w:t>
            </w:r>
          </w:p>
        </w:tc>
        <w:tc>
          <w:tcPr>
            <w:tcW w:w="795" w:type="dxa"/>
            <w:noWrap w:val="0"/>
            <w:vAlign w:val="center"/>
          </w:tcPr>
          <w:p w14:paraId="256A7028">
            <w:pPr>
              <w:jc w:val="center"/>
              <w:rPr>
                <w:rFonts w:hint="eastAsia" w:ascii="宋体" w:hAnsi="宋体" w:cs="宋体"/>
                <w:sz w:val="24"/>
              </w:rPr>
            </w:pPr>
          </w:p>
        </w:tc>
        <w:tc>
          <w:tcPr>
            <w:tcW w:w="750" w:type="dxa"/>
            <w:noWrap w:val="0"/>
            <w:vAlign w:val="center"/>
          </w:tcPr>
          <w:p w14:paraId="3FB0BDD0">
            <w:pPr>
              <w:jc w:val="center"/>
              <w:rPr>
                <w:rFonts w:hint="eastAsia" w:ascii="宋体" w:hAnsi="宋体" w:cs="宋体" w:eastAsiaTheme="minorEastAsia"/>
                <w:sz w:val="24"/>
                <w:lang w:val="en-US" w:eastAsia="zh-CN"/>
              </w:rPr>
            </w:pPr>
          </w:p>
        </w:tc>
        <w:tc>
          <w:tcPr>
            <w:tcW w:w="1530" w:type="dxa"/>
            <w:noWrap w:val="0"/>
            <w:vAlign w:val="center"/>
          </w:tcPr>
          <w:p w14:paraId="6604AADB">
            <w:pPr>
              <w:keepNext w:val="0"/>
              <w:keepLines w:val="0"/>
              <w:widowControl/>
              <w:suppressLineNumbers w:val="0"/>
              <w:jc w:val="center"/>
              <w:textAlignment w:val="center"/>
              <w:rPr>
                <w:rFonts w:hint="eastAsia" w:ascii="宋体" w:hAnsi="宋体" w:cs="宋体" w:eastAsiaTheme="minorEastAsia"/>
                <w:sz w:val="24"/>
                <w:lang w:eastAsia="zh-CN"/>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63500</wp:posOffset>
                  </wp:positionH>
                  <wp:positionV relativeFrom="paragraph">
                    <wp:posOffset>-284480</wp:posOffset>
                  </wp:positionV>
                  <wp:extent cx="791210" cy="734695"/>
                  <wp:effectExtent l="0" t="0" r="8890" b="8255"/>
                  <wp:wrapNone/>
                  <wp:docPr id="43" name="图片_1"/>
                  <wp:cNvGraphicFramePr/>
                  <a:graphic xmlns:a="http://schemas.openxmlformats.org/drawingml/2006/main">
                    <a:graphicData uri="http://schemas.openxmlformats.org/drawingml/2006/picture">
                      <pic:pic xmlns:pic="http://schemas.openxmlformats.org/drawingml/2006/picture">
                        <pic:nvPicPr>
                          <pic:cNvPr id="43" name="图片_1"/>
                          <pic:cNvPicPr/>
                        </pic:nvPicPr>
                        <pic:blipFill>
                          <a:blip r:embed="rId12"/>
                          <a:stretch>
                            <a:fillRect/>
                          </a:stretch>
                        </pic:blipFill>
                        <pic:spPr>
                          <a:xfrm>
                            <a:off x="0" y="0"/>
                            <a:ext cx="791210" cy="734695"/>
                          </a:xfrm>
                          <a:prstGeom prst="rect">
                            <a:avLst/>
                          </a:prstGeom>
                          <a:noFill/>
                          <a:ln>
                            <a:noFill/>
                          </a:ln>
                        </pic:spPr>
                      </pic:pic>
                    </a:graphicData>
                  </a:graphic>
                </wp:anchor>
              </w:drawing>
            </w:r>
          </w:p>
        </w:tc>
        <w:tc>
          <w:tcPr>
            <w:tcW w:w="6810" w:type="dxa"/>
            <w:noWrap w:val="0"/>
            <w:vAlign w:val="center"/>
          </w:tcPr>
          <w:p w14:paraId="4CC0DA07">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 电机上装有手轮装置，停电时，实现手动开启；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遥控器：可分别控制道闸1、道闸2（开启、关闭、停止）；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具备多种接口，可接入红外线、地感、雷达（出口闸机需要自动感应开启功能）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因室外使用，必须具有良好的耐用性。</w:t>
            </w:r>
          </w:p>
        </w:tc>
        <w:tc>
          <w:tcPr>
            <w:tcW w:w="585" w:type="dxa"/>
            <w:noWrap w:val="0"/>
            <w:vAlign w:val="center"/>
          </w:tcPr>
          <w:p w14:paraId="4D9C7979">
            <w:pPr>
              <w:keepNext w:val="0"/>
              <w:keepLines w:val="0"/>
              <w:widowControl/>
              <w:suppressLineNumbers w:val="0"/>
              <w:jc w:val="center"/>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6965A6EF">
            <w:pPr>
              <w:keepNext w:val="0"/>
              <w:keepLines w:val="0"/>
              <w:widowControl/>
              <w:suppressLineNumbers w:val="0"/>
              <w:jc w:val="center"/>
              <w:textAlignment w:val="center"/>
              <w:rPr>
                <w:rFonts w:hint="default" w:ascii="宋体" w:hAnsi="宋体" w:cs="宋体" w:eastAsiaTheme="minorEastAsia"/>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915" w:type="dxa"/>
            <w:noWrap w:val="0"/>
            <w:vAlign w:val="center"/>
          </w:tcPr>
          <w:p w14:paraId="0D50462A">
            <w:pPr>
              <w:jc w:val="center"/>
              <w:rPr>
                <w:rFonts w:hint="default" w:ascii="宋体" w:hAnsi="宋体" w:cs="宋体" w:eastAsiaTheme="minorEastAsia"/>
                <w:sz w:val="24"/>
                <w:lang w:val="en-US" w:eastAsia="zh-CN"/>
              </w:rPr>
            </w:pPr>
          </w:p>
        </w:tc>
        <w:tc>
          <w:tcPr>
            <w:tcW w:w="795" w:type="dxa"/>
            <w:noWrap w:val="0"/>
            <w:vAlign w:val="center"/>
          </w:tcPr>
          <w:p w14:paraId="1B4DD88F">
            <w:pPr>
              <w:jc w:val="center"/>
              <w:rPr>
                <w:rFonts w:hint="default" w:ascii="宋体" w:hAnsi="宋体" w:cs="宋体" w:eastAsiaTheme="minorEastAsia"/>
                <w:sz w:val="24"/>
                <w:lang w:val="en-US" w:eastAsia="zh-CN"/>
              </w:rPr>
            </w:pPr>
          </w:p>
        </w:tc>
      </w:tr>
      <w:tr w14:paraId="07FF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690" w:type="dxa"/>
            <w:shd w:val="clear" w:color="auto" w:fill="auto"/>
            <w:noWrap w:val="0"/>
            <w:vAlign w:val="center"/>
          </w:tcPr>
          <w:p w14:paraId="59CE509B">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5" w:type="dxa"/>
            <w:shd w:val="clear" w:color="auto" w:fill="auto"/>
            <w:noWrap w:val="0"/>
            <w:vAlign w:val="center"/>
          </w:tcPr>
          <w:p w14:paraId="777B699E">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防砸雷达</w:t>
            </w:r>
          </w:p>
        </w:tc>
        <w:tc>
          <w:tcPr>
            <w:tcW w:w="795" w:type="dxa"/>
            <w:noWrap w:val="0"/>
            <w:vAlign w:val="center"/>
          </w:tcPr>
          <w:p w14:paraId="03C2CD86">
            <w:pPr>
              <w:jc w:val="center"/>
              <w:rPr>
                <w:rFonts w:hint="eastAsia" w:ascii="宋体" w:hAnsi="宋体" w:cs="宋体"/>
                <w:bCs/>
                <w:sz w:val="24"/>
              </w:rPr>
            </w:pPr>
          </w:p>
        </w:tc>
        <w:tc>
          <w:tcPr>
            <w:tcW w:w="750" w:type="dxa"/>
            <w:noWrap w:val="0"/>
            <w:vAlign w:val="center"/>
          </w:tcPr>
          <w:p w14:paraId="726FD8E3">
            <w:pPr>
              <w:jc w:val="center"/>
              <w:rPr>
                <w:rFonts w:hint="eastAsia" w:ascii="宋体" w:hAnsi="宋体" w:cs="宋体"/>
                <w:bCs/>
                <w:sz w:val="24"/>
              </w:rPr>
            </w:pPr>
          </w:p>
        </w:tc>
        <w:tc>
          <w:tcPr>
            <w:tcW w:w="1530" w:type="dxa"/>
            <w:noWrap w:val="0"/>
            <w:vAlign w:val="center"/>
          </w:tcPr>
          <w:p w14:paraId="180C47B5">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178435</wp:posOffset>
                  </wp:positionH>
                  <wp:positionV relativeFrom="paragraph">
                    <wp:posOffset>572135</wp:posOffset>
                  </wp:positionV>
                  <wp:extent cx="654050" cy="974725"/>
                  <wp:effectExtent l="0" t="0" r="12700" b="15875"/>
                  <wp:wrapNone/>
                  <wp:docPr id="46" name="ID_F5AF7F75ACD94797AFC02875EB917584"/>
                  <wp:cNvGraphicFramePr/>
                  <a:graphic xmlns:a="http://schemas.openxmlformats.org/drawingml/2006/main">
                    <a:graphicData uri="http://schemas.openxmlformats.org/drawingml/2006/picture">
                      <pic:pic xmlns:pic="http://schemas.openxmlformats.org/drawingml/2006/picture">
                        <pic:nvPicPr>
                          <pic:cNvPr id="46" name="ID_F5AF7F75ACD94797AFC02875EB917584"/>
                          <pic:cNvPicPr/>
                        </pic:nvPicPr>
                        <pic:blipFill>
                          <a:blip r:embed="rId7"/>
                          <a:stretch>
                            <a:fillRect/>
                          </a:stretch>
                        </pic:blipFill>
                        <pic:spPr>
                          <a:xfrm>
                            <a:off x="0" y="0"/>
                            <a:ext cx="654050" cy="9747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0" cy="1878965"/>
                  <wp:effectExtent l="0" t="0" r="0" b="0"/>
                  <wp:wrapNone/>
                  <wp:docPr id="44" name="Picture_26"/>
                  <wp:cNvGraphicFramePr/>
                  <a:graphic xmlns:a="http://schemas.openxmlformats.org/drawingml/2006/main">
                    <a:graphicData uri="http://schemas.openxmlformats.org/drawingml/2006/picture">
                      <pic:pic xmlns:pic="http://schemas.openxmlformats.org/drawingml/2006/picture">
                        <pic:nvPicPr>
                          <pic:cNvPr id="44" name="Picture_26"/>
                          <pic:cNvPicPr/>
                        </pic:nvPicPr>
                        <pic:blipFill>
                          <a:blip r:embed="rId13"/>
                          <a:stretch>
                            <a:fillRect/>
                          </a:stretch>
                        </pic:blipFill>
                        <pic:spPr>
                          <a:xfrm>
                            <a:off x="0" y="0"/>
                            <a:ext cx="0" cy="18789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0" cy="1878965"/>
                  <wp:effectExtent l="0" t="0" r="0" b="0"/>
                  <wp:wrapNone/>
                  <wp:docPr id="45" name="Picture_26_SpCnt_1"/>
                  <wp:cNvGraphicFramePr/>
                  <a:graphic xmlns:a="http://schemas.openxmlformats.org/drawingml/2006/main">
                    <a:graphicData uri="http://schemas.openxmlformats.org/drawingml/2006/picture">
                      <pic:pic xmlns:pic="http://schemas.openxmlformats.org/drawingml/2006/picture">
                        <pic:nvPicPr>
                          <pic:cNvPr id="45" name="Picture_26_SpCnt_1"/>
                          <pic:cNvPicPr/>
                        </pic:nvPicPr>
                        <pic:blipFill>
                          <a:blip r:embed="rId14"/>
                          <a:stretch>
                            <a:fillRect/>
                          </a:stretch>
                        </pic:blipFill>
                        <pic:spPr>
                          <a:xfrm>
                            <a:off x="0" y="0"/>
                            <a:ext cx="0" cy="1878965"/>
                          </a:xfrm>
                          <a:prstGeom prst="rect">
                            <a:avLst/>
                          </a:prstGeom>
                          <a:noFill/>
                          <a:ln>
                            <a:noFill/>
                          </a:ln>
                        </pic:spPr>
                      </pic:pic>
                    </a:graphicData>
                  </a:graphic>
                </wp:anchor>
              </w:drawing>
            </w:r>
          </w:p>
        </w:tc>
        <w:tc>
          <w:tcPr>
            <w:tcW w:w="6810" w:type="dxa"/>
            <w:noWrap w:val="0"/>
            <w:vAlign w:val="center"/>
          </w:tcPr>
          <w:p w14:paraId="3C36DB0A">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采用79GHz MMIC技术，分辨率更高，检测更稳定；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雷达检测距离可调，检测宽度可调，操作方便，通用性强；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无需学习背景，适应更多复杂现场环境；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提供RS485串口或蓝牙通讯功能，手机APP，可对雷达进行在线调试、固件升级，操作更方便；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安装与维护方便，所需人力少，工时短。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采用先进的信号处理技术，可稳定检测到行人和车辆，有效防止“砸车、砸人”事故的发生。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采用LED灯指示雷达工作状态，状态更直观。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自动记录雷达的配置参数，断电重启后可恢复至之前的工作状态；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p>
        </w:tc>
        <w:tc>
          <w:tcPr>
            <w:tcW w:w="585" w:type="dxa"/>
            <w:noWrap w:val="0"/>
            <w:vAlign w:val="center"/>
          </w:tcPr>
          <w:p w14:paraId="1CCCC464">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562CDBC7">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6</w:t>
            </w:r>
          </w:p>
        </w:tc>
        <w:tc>
          <w:tcPr>
            <w:tcW w:w="915" w:type="dxa"/>
            <w:noWrap w:val="0"/>
            <w:vAlign w:val="center"/>
          </w:tcPr>
          <w:p w14:paraId="17CCDD50">
            <w:pPr>
              <w:jc w:val="center"/>
              <w:rPr>
                <w:rFonts w:hint="eastAsia" w:ascii="宋体" w:hAnsi="宋体" w:cs="宋体"/>
                <w:bCs/>
                <w:sz w:val="24"/>
              </w:rPr>
            </w:pPr>
          </w:p>
        </w:tc>
        <w:tc>
          <w:tcPr>
            <w:tcW w:w="795" w:type="dxa"/>
            <w:noWrap w:val="0"/>
            <w:vAlign w:val="center"/>
          </w:tcPr>
          <w:p w14:paraId="24B7A7F9">
            <w:pPr>
              <w:jc w:val="center"/>
              <w:rPr>
                <w:rFonts w:hint="eastAsia" w:ascii="宋体" w:hAnsi="宋体" w:cs="宋体"/>
                <w:bCs/>
                <w:sz w:val="24"/>
              </w:rPr>
            </w:pPr>
          </w:p>
        </w:tc>
      </w:tr>
      <w:tr w14:paraId="34CA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2" w:hRule="atLeast"/>
        </w:trPr>
        <w:tc>
          <w:tcPr>
            <w:tcW w:w="690" w:type="dxa"/>
            <w:shd w:val="clear" w:color="auto" w:fill="auto"/>
            <w:noWrap w:val="0"/>
            <w:vAlign w:val="center"/>
          </w:tcPr>
          <w:p w14:paraId="10670991">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735" w:type="dxa"/>
            <w:shd w:val="clear" w:color="auto" w:fill="auto"/>
            <w:noWrap w:val="0"/>
            <w:vAlign w:val="center"/>
          </w:tcPr>
          <w:p w14:paraId="0BD9F4F0">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行人安检亭</w:t>
            </w:r>
          </w:p>
        </w:tc>
        <w:tc>
          <w:tcPr>
            <w:tcW w:w="795" w:type="dxa"/>
            <w:noWrap w:val="0"/>
            <w:vAlign w:val="center"/>
          </w:tcPr>
          <w:p w14:paraId="2589C7FA">
            <w:pPr>
              <w:jc w:val="center"/>
              <w:rPr>
                <w:rFonts w:hint="eastAsia" w:ascii="宋体" w:hAnsi="宋体" w:cs="宋体"/>
                <w:bCs/>
                <w:sz w:val="24"/>
              </w:rPr>
            </w:pPr>
          </w:p>
        </w:tc>
        <w:tc>
          <w:tcPr>
            <w:tcW w:w="750" w:type="dxa"/>
            <w:noWrap w:val="0"/>
            <w:vAlign w:val="center"/>
          </w:tcPr>
          <w:p w14:paraId="650EB6F6">
            <w:pPr>
              <w:jc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407035</wp:posOffset>
                  </wp:positionH>
                  <wp:positionV relativeFrom="paragraph">
                    <wp:posOffset>36830</wp:posOffset>
                  </wp:positionV>
                  <wp:extent cx="999490" cy="521970"/>
                  <wp:effectExtent l="0" t="0" r="10160" b="11430"/>
                  <wp:wrapNone/>
                  <wp:docPr id="47" name="图片_2"/>
                  <wp:cNvGraphicFramePr/>
                  <a:graphic xmlns:a="http://schemas.openxmlformats.org/drawingml/2006/main">
                    <a:graphicData uri="http://schemas.openxmlformats.org/drawingml/2006/picture">
                      <pic:pic xmlns:pic="http://schemas.openxmlformats.org/drawingml/2006/picture">
                        <pic:nvPicPr>
                          <pic:cNvPr id="47" name="图片_2"/>
                          <pic:cNvPicPr/>
                        </pic:nvPicPr>
                        <pic:blipFill>
                          <a:blip r:embed="rId11"/>
                          <a:stretch>
                            <a:fillRect/>
                          </a:stretch>
                        </pic:blipFill>
                        <pic:spPr>
                          <a:xfrm>
                            <a:off x="0" y="0"/>
                            <a:ext cx="999490" cy="521970"/>
                          </a:xfrm>
                          <a:prstGeom prst="rect">
                            <a:avLst/>
                          </a:prstGeom>
                          <a:noFill/>
                          <a:ln>
                            <a:noFill/>
                          </a:ln>
                        </pic:spPr>
                      </pic:pic>
                    </a:graphicData>
                  </a:graphic>
                </wp:anchor>
              </w:drawing>
            </w:r>
          </w:p>
        </w:tc>
        <w:tc>
          <w:tcPr>
            <w:tcW w:w="1530" w:type="dxa"/>
            <w:noWrap w:val="0"/>
            <w:vAlign w:val="center"/>
          </w:tcPr>
          <w:p w14:paraId="240545CC">
            <w:pPr>
              <w:keepNext w:val="0"/>
              <w:keepLines w:val="0"/>
              <w:widowControl/>
              <w:suppressLineNumbers w:val="0"/>
              <w:jc w:val="center"/>
              <w:textAlignment w:val="center"/>
              <w:rPr>
                <w:rFonts w:hint="eastAsia" w:ascii="宋体" w:hAnsi="宋体" w:cs="宋体"/>
                <w:bCs/>
                <w:sz w:val="24"/>
              </w:rPr>
            </w:pPr>
          </w:p>
        </w:tc>
        <w:tc>
          <w:tcPr>
            <w:tcW w:w="6810" w:type="dxa"/>
            <w:noWrap w:val="0"/>
            <w:vAlign w:val="center"/>
          </w:tcPr>
          <w:p w14:paraId="45FA0648">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安检机移装至本亭内,安检机需占地9平米；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非机动车道有延伸挑檐，为非机动车道闸机提供避雨；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安检亭主体结构为钢结构，外墙面为金属复合板，材质具备耐候性、防腐蚀的特点；一侧墙面镶嵌钢化玻璃，搭配黑色金属收边条；通道两头采用铝合金加玻璃，上部开窗通风；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安检亭外观和医院原有岗位亭保持一致。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进出口两端留1.5*2.2门洞，无需装门。</w:t>
            </w:r>
          </w:p>
        </w:tc>
        <w:tc>
          <w:tcPr>
            <w:tcW w:w="585" w:type="dxa"/>
            <w:noWrap w:val="0"/>
            <w:vAlign w:val="center"/>
          </w:tcPr>
          <w:p w14:paraId="12A6A8C1">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平米</w:t>
            </w:r>
          </w:p>
        </w:tc>
        <w:tc>
          <w:tcPr>
            <w:tcW w:w="780" w:type="dxa"/>
            <w:noWrap w:val="0"/>
            <w:vAlign w:val="center"/>
          </w:tcPr>
          <w:p w14:paraId="02CB867B">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12.25*3</w:t>
            </w:r>
          </w:p>
        </w:tc>
        <w:tc>
          <w:tcPr>
            <w:tcW w:w="915" w:type="dxa"/>
            <w:noWrap w:val="0"/>
            <w:vAlign w:val="center"/>
          </w:tcPr>
          <w:p w14:paraId="5E51057B">
            <w:pPr>
              <w:jc w:val="center"/>
              <w:rPr>
                <w:rFonts w:hint="eastAsia" w:ascii="宋体" w:hAnsi="宋体" w:cs="宋体"/>
                <w:bCs/>
                <w:sz w:val="24"/>
              </w:rPr>
            </w:pPr>
          </w:p>
        </w:tc>
        <w:tc>
          <w:tcPr>
            <w:tcW w:w="795" w:type="dxa"/>
            <w:noWrap w:val="0"/>
            <w:vAlign w:val="center"/>
          </w:tcPr>
          <w:p w14:paraId="0E931701">
            <w:pPr>
              <w:jc w:val="center"/>
              <w:rPr>
                <w:rFonts w:hint="eastAsia" w:ascii="宋体" w:hAnsi="宋体" w:cs="宋体"/>
                <w:bCs/>
                <w:sz w:val="24"/>
              </w:rPr>
            </w:pPr>
          </w:p>
        </w:tc>
      </w:tr>
      <w:tr w14:paraId="2F48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690" w:type="dxa"/>
            <w:shd w:val="clear" w:color="auto" w:fill="auto"/>
            <w:noWrap w:val="0"/>
            <w:vAlign w:val="center"/>
          </w:tcPr>
          <w:p w14:paraId="07383B07">
            <w:pPr>
              <w:jc w:val="center"/>
              <w:rPr>
                <w:rFonts w:hint="eastAsia" w:ascii="宋体" w:hAnsi="宋体" w:eastAsia="宋体" w:cs="宋体"/>
                <w:i w:val="0"/>
                <w:iCs w:val="0"/>
                <w:color w:val="000000"/>
                <w:kern w:val="2"/>
                <w:sz w:val="26"/>
                <w:szCs w:val="26"/>
                <w:u w:val="none"/>
                <w:lang w:val="en-US" w:eastAsia="zh-CN" w:bidi="ar-SA"/>
              </w:rPr>
            </w:pPr>
          </w:p>
        </w:tc>
        <w:tc>
          <w:tcPr>
            <w:tcW w:w="735" w:type="dxa"/>
            <w:shd w:val="clear" w:color="auto" w:fill="auto"/>
            <w:noWrap w:val="0"/>
            <w:vAlign w:val="center"/>
          </w:tcPr>
          <w:p w14:paraId="24C3379B">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安检机移装</w:t>
            </w:r>
          </w:p>
        </w:tc>
        <w:tc>
          <w:tcPr>
            <w:tcW w:w="795" w:type="dxa"/>
            <w:noWrap w:val="0"/>
            <w:vAlign w:val="center"/>
          </w:tcPr>
          <w:p w14:paraId="17FC2C29">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w:t>
            </w:r>
          </w:p>
        </w:tc>
        <w:tc>
          <w:tcPr>
            <w:tcW w:w="750" w:type="dxa"/>
            <w:noWrap w:val="0"/>
            <w:vAlign w:val="center"/>
          </w:tcPr>
          <w:p w14:paraId="6A11B4D6">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安检机移装</w:t>
            </w:r>
          </w:p>
        </w:tc>
        <w:tc>
          <w:tcPr>
            <w:tcW w:w="1530" w:type="dxa"/>
            <w:noWrap w:val="0"/>
            <w:vAlign w:val="center"/>
          </w:tcPr>
          <w:p w14:paraId="61B3CD51">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安检机移装</w:t>
            </w:r>
          </w:p>
        </w:tc>
        <w:tc>
          <w:tcPr>
            <w:tcW w:w="6810" w:type="dxa"/>
            <w:noWrap w:val="0"/>
            <w:vAlign w:val="center"/>
          </w:tcPr>
          <w:p w14:paraId="441B2DCA">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安检机移装,含设备电源铺设等其余费用。</w:t>
            </w:r>
          </w:p>
        </w:tc>
        <w:tc>
          <w:tcPr>
            <w:tcW w:w="585" w:type="dxa"/>
            <w:noWrap w:val="0"/>
            <w:vAlign w:val="center"/>
          </w:tcPr>
          <w:p w14:paraId="60F2FD06">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58C23157">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1*3</w:t>
            </w:r>
          </w:p>
        </w:tc>
        <w:tc>
          <w:tcPr>
            <w:tcW w:w="915" w:type="dxa"/>
            <w:noWrap w:val="0"/>
            <w:vAlign w:val="center"/>
          </w:tcPr>
          <w:p w14:paraId="4D4ADF15">
            <w:pPr>
              <w:jc w:val="center"/>
              <w:rPr>
                <w:rFonts w:hint="eastAsia" w:ascii="宋体" w:hAnsi="宋体" w:cs="宋体"/>
                <w:bCs/>
                <w:sz w:val="24"/>
              </w:rPr>
            </w:pPr>
          </w:p>
        </w:tc>
        <w:tc>
          <w:tcPr>
            <w:tcW w:w="795" w:type="dxa"/>
            <w:noWrap w:val="0"/>
            <w:vAlign w:val="center"/>
          </w:tcPr>
          <w:p w14:paraId="5CC3D24A">
            <w:pPr>
              <w:jc w:val="center"/>
              <w:rPr>
                <w:rFonts w:hint="eastAsia" w:ascii="宋体" w:hAnsi="宋体" w:cs="宋体"/>
                <w:bCs/>
                <w:sz w:val="24"/>
              </w:rPr>
            </w:pPr>
          </w:p>
        </w:tc>
      </w:tr>
      <w:tr w14:paraId="2485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690" w:type="dxa"/>
            <w:noWrap w:val="0"/>
            <w:vAlign w:val="center"/>
          </w:tcPr>
          <w:p w14:paraId="15F53D29">
            <w:pPr>
              <w:jc w:val="center"/>
              <w:rPr>
                <w:rFonts w:hint="default" w:ascii="宋体" w:hAnsi="宋体" w:cs="宋体" w:eastAsiaTheme="minorEastAsia"/>
                <w:kern w:val="0"/>
                <w:sz w:val="24"/>
                <w:lang w:val="en-US" w:eastAsia="zh-CN"/>
              </w:rPr>
            </w:pPr>
          </w:p>
        </w:tc>
        <w:tc>
          <w:tcPr>
            <w:tcW w:w="735" w:type="dxa"/>
            <w:noWrap w:val="0"/>
            <w:vAlign w:val="center"/>
          </w:tcPr>
          <w:p w14:paraId="762C903C">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其余费用</w:t>
            </w:r>
          </w:p>
        </w:tc>
        <w:tc>
          <w:tcPr>
            <w:tcW w:w="795" w:type="dxa"/>
            <w:noWrap w:val="0"/>
            <w:vAlign w:val="center"/>
          </w:tcPr>
          <w:p w14:paraId="39CA102C">
            <w:pPr>
              <w:jc w:val="center"/>
              <w:rPr>
                <w:rFonts w:hint="eastAsia" w:ascii="宋体" w:hAnsi="宋体" w:cs="宋体"/>
                <w:bCs/>
                <w:sz w:val="24"/>
              </w:rPr>
            </w:pPr>
          </w:p>
        </w:tc>
        <w:tc>
          <w:tcPr>
            <w:tcW w:w="750" w:type="dxa"/>
            <w:noWrap w:val="0"/>
            <w:vAlign w:val="center"/>
          </w:tcPr>
          <w:p w14:paraId="33A3348D">
            <w:pPr>
              <w:jc w:val="center"/>
              <w:rPr>
                <w:rFonts w:hint="eastAsia" w:ascii="宋体" w:hAnsi="宋体" w:cs="宋体"/>
                <w:bCs/>
                <w:sz w:val="24"/>
              </w:rPr>
            </w:pPr>
          </w:p>
        </w:tc>
        <w:tc>
          <w:tcPr>
            <w:tcW w:w="1530" w:type="dxa"/>
            <w:noWrap w:val="0"/>
            <w:vAlign w:val="center"/>
          </w:tcPr>
          <w:p w14:paraId="6AA9ABA7">
            <w:pPr>
              <w:jc w:val="center"/>
              <w:rPr>
                <w:rFonts w:hint="eastAsia" w:ascii="宋体" w:hAnsi="宋体" w:cs="宋体"/>
                <w:bCs/>
                <w:sz w:val="24"/>
              </w:rPr>
            </w:pPr>
          </w:p>
        </w:tc>
        <w:tc>
          <w:tcPr>
            <w:tcW w:w="6810" w:type="dxa"/>
            <w:noWrap w:val="0"/>
            <w:vAlign w:val="center"/>
          </w:tcPr>
          <w:p w14:paraId="0AF23883">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含所有设备安装及配套实施（如：道闸机服务器、交换机、设备电源、网线等）</w:t>
            </w:r>
          </w:p>
        </w:tc>
        <w:tc>
          <w:tcPr>
            <w:tcW w:w="585" w:type="dxa"/>
            <w:noWrap w:val="0"/>
            <w:vAlign w:val="center"/>
          </w:tcPr>
          <w:p w14:paraId="62296892">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5A784816">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1*3</w:t>
            </w:r>
          </w:p>
        </w:tc>
        <w:tc>
          <w:tcPr>
            <w:tcW w:w="915" w:type="dxa"/>
            <w:noWrap w:val="0"/>
            <w:vAlign w:val="center"/>
          </w:tcPr>
          <w:p w14:paraId="3578F9B7">
            <w:pPr>
              <w:jc w:val="center"/>
              <w:rPr>
                <w:rFonts w:hint="eastAsia" w:ascii="宋体" w:hAnsi="宋体" w:cs="宋体"/>
                <w:bCs/>
                <w:sz w:val="24"/>
              </w:rPr>
            </w:pPr>
          </w:p>
        </w:tc>
        <w:tc>
          <w:tcPr>
            <w:tcW w:w="795" w:type="dxa"/>
            <w:noWrap w:val="0"/>
            <w:vAlign w:val="center"/>
          </w:tcPr>
          <w:p w14:paraId="5C7857B5">
            <w:pPr>
              <w:jc w:val="center"/>
              <w:rPr>
                <w:rFonts w:hint="eastAsia" w:ascii="宋体" w:hAnsi="宋体" w:cs="宋体"/>
                <w:bCs/>
                <w:sz w:val="24"/>
              </w:rPr>
            </w:pPr>
          </w:p>
        </w:tc>
      </w:tr>
      <w:tr w14:paraId="6955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90" w:type="dxa"/>
            <w:noWrap w:val="0"/>
            <w:vAlign w:val="center"/>
          </w:tcPr>
          <w:p w14:paraId="6ECA003B">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35" w:type="dxa"/>
            <w:noWrap w:val="0"/>
            <w:vAlign w:val="center"/>
          </w:tcPr>
          <w:p w14:paraId="593097DB">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bCs/>
                <w:i w:val="0"/>
                <w:iCs w:val="0"/>
                <w:color w:val="000000"/>
                <w:kern w:val="0"/>
                <w:sz w:val="28"/>
                <w:szCs w:val="28"/>
                <w:u w:val="none"/>
                <w:lang w:val="en-US" w:eastAsia="zh-CN" w:bidi="ar"/>
              </w:rPr>
              <w:t>合计</w:t>
            </w:r>
          </w:p>
        </w:tc>
        <w:tc>
          <w:tcPr>
            <w:tcW w:w="11250" w:type="dxa"/>
            <w:gridSpan w:val="6"/>
            <w:noWrap w:val="0"/>
            <w:vAlign w:val="center"/>
          </w:tcPr>
          <w:p w14:paraId="0D00E0FE">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以上设备含36个月免费维保</w:t>
            </w:r>
          </w:p>
        </w:tc>
        <w:tc>
          <w:tcPr>
            <w:tcW w:w="915" w:type="dxa"/>
            <w:noWrap w:val="0"/>
            <w:vAlign w:val="center"/>
          </w:tcPr>
          <w:p w14:paraId="2B0940B5">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总合计</w:t>
            </w:r>
          </w:p>
        </w:tc>
        <w:tc>
          <w:tcPr>
            <w:tcW w:w="795" w:type="dxa"/>
            <w:noWrap w:val="0"/>
            <w:vAlign w:val="center"/>
          </w:tcPr>
          <w:p w14:paraId="078C99B0">
            <w:pPr>
              <w:jc w:val="center"/>
              <w:rPr>
                <w:rFonts w:hint="eastAsia" w:ascii="宋体" w:hAnsi="宋体" w:cs="宋体"/>
                <w:bCs/>
                <w:sz w:val="24"/>
              </w:rPr>
            </w:pPr>
          </w:p>
        </w:tc>
      </w:tr>
    </w:tbl>
    <w:p w14:paraId="140E822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1E1D91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96D001">
      <w:pPr>
        <w:spacing w:line="360" w:lineRule="exact"/>
        <w:rPr>
          <w:rFonts w:hint="eastAsia" w:ascii="宋体" w:hAnsi="宋体" w:cs="宋体"/>
          <w:bCs/>
          <w:sz w:val="24"/>
        </w:rPr>
      </w:pPr>
    </w:p>
    <w:p w14:paraId="5D39BD55">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23FE1AD8">
      <w:pPr>
        <w:spacing w:line="360" w:lineRule="exact"/>
        <w:rPr>
          <w:rFonts w:hint="default" w:ascii="宋体" w:hAnsi="宋体" w:cs="宋体" w:eastAsiaTheme="minorEastAsia"/>
          <w:bCs/>
          <w:sz w:val="24"/>
          <w:u w:val="single"/>
          <w:lang w:val="en-US" w:eastAsia="zh-CN"/>
        </w:rPr>
      </w:pPr>
    </w:p>
    <w:p w14:paraId="24A8D9D1">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729D41F8">
      <w:pPr>
        <w:rPr>
          <w:rFonts w:hint="eastAsia"/>
          <w:lang w:val="en-US" w:eastAsia="zh-CN"/>
        </w:rPr>
      </w:pPr>
      <w:r>
        <w:rPr>
          <w:rFonts w:hint="eastAsia"/>
          <w:lang w:val="en-US" w:eastAsia="zh-CN"/>
        </w:rPr>
        <w:br w:type="page"/>
      </w:r>
    </w:p>
    <w:p w14:paraId="4F9DD8E1">
      <w:pPr>
        <w:tabs>
          <w:tab w:val="left" w:pos="2803"/>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6DFE7205">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（2）云南省滇南中心医院（红河哈尼族彝族自治州第一人民医院）</w:t>
      </w:r>
    </w:p>
    <w:p w14:paraId="019B4397">
      <w:pPr>
        <w:spacing w:line="360" w:lineRule="exact"/>
        <w:jc w:val="center"/>
        <w:outlineLvl w:val="0"/>
        <w:rPr>
          <w:rFonts w:hint="eastAsia" w:ascii="宋体" w:hAnsi="宋体" w:cs="宋体"/>
          <w:b/>
          <w:bCs/>
          <w:sz w:val="24"/>
          <w:lang w:val="en-US" w:eastAsia="zh-CN"/>
        </w:rPr>
      </w:pPr>
      <w:bookmarkStart w:id="58" w:name="_Toc29028"/>
      <w:r>
        <w:rPr>
          <w:rFonts w:hint="eastAsia" w:ascii="宋体" w:hAnsi="宋体" w:cs="宋体"/>
          <w:b/>
          <w:bCs/>
          <w:sz w:val="24"/>
          <w:lang w:val="en-US" w:eastAsia="zh-CN"/>
        </w:rPr>
        <w:t>医院出入口改造项目最终报价一览表</w:t>
      </w:r>
      <w:bookmarkEnd w:id="58"/>
    </w:p>
    <w:p w14:paraId="1BD5000A">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b/>
          <w:bCs/>
          <w:sz w:val="24"/>
          <w:lang w:val="en-US" w:eastAsia="zh-CN"/>
        </w:rPr>
      </w:pPr>
      <w:r>
        <w:rPr>
          <w:rFonts w:hint="eastAsia" w:ascii="宋体" w:hAnsi="宋体" w:cs="宋体"/>
          <w:i w:val="0"/>
          <w:iCs w:val="0"/>
          <w:caps w:val="0"/>
          <w:color w:val="auto"/>
          <w:spacing w:val="0"/>
          <w:sz w:val="28"/>
          <w:szCs w:val="28"/>
          <w:shd w:val="clear" w:color="auto" w:fill="FFFFFF"/>
          <w:lang w:val="en-US" w:eastAsia="zh-CN"/>
        </w:rPr>
        <w:t>（1）1号门配置单</w:t>
      </w:r>
    </w:p>
    <w:tbl>
      <w:tblPr>
        <w:tblStyle w:val="8"/>
        <w:tblpPr w:leftFromText="180" w:rightFromText="180" w:vertAnchor="text" w:horzAnchor="page" w:tblpX="1253" w:tblpY="354"/>
        <w:tblOverlap w:val="never"/>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35"/>
        <w:gridCol w:w="795"/>
        <w:gridCol w:w="750"/>
        <w:gridCol w:w="1530"/>
        <w:gridCol w:w="6809"/>
        <w:gridCol w:w="585"/>
        <w:gridCol w:w="780"/>
        <w:gridCol w:w="915"/>
        <w:gridCol w:w="795"/>
      </w:tblGrid>
      <w:tr w14:paraId="46CC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690" w:type="dxa"/>
            <w:noWrap w:val="0"/>
            <w:vAlign w:val="center"/>
          </w:tcPr>
          <w:p w14:paraId="32A24271">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序号</w:t>
            </w:r>
          </w:p>
        </w:tc>
        <w:tc>
          <w:tcPr>
            <w:tcW w:w="735" w:type="dxa"/>
            <w:noWrap w:val="0"/>
            <w:vAlign w:val="center"/>
          </w:tcPr>
          <w:p w14:paraId="7B601D23">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设备名称</w:t>
            </w:r>
          </w:p>
        </w:tc>
        <w:tc>
          <w:tcPr>
            <w:tcW w:w="795" w:type="dxa"/>
            <w:noWrap w:val="0"/>
            <w:vAlign w:val="center"/>
          </w:tcPr>
          <w:p w14:paraId="6A453508">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品牌</w:t>
            </w:r>
          </w:p>
        </w:tc>
        <w:tc>
          <w:tcPr>
            <w:tcW w:w="750" w:type="dxa"/>
            <w:noWrap w:val="0"/>
            <w:vAlign w:val="center"/>
          </w:tcPr>
          <w:p w14:paraId="37045947">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型号</w:t>
            </w:r>
          </w:p>
        </w:tc>
        <w:tc>
          <w:tcPr>
            <w:tcW w:w="1530" w:type="dxa"/>
            <w:noWrap w:val="0"/>
            <w:vAlign w:val="center"/>
          </w:tcPr>
          <w:p w14:paraId="4D8E3485">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产品图片</w:t>
            </w:r>
          </w:p>
        </w:tc>
        <w:tc>
          <w:tcPr>
            <w:tcW w:w="6810" w:type="dxa"/>
            <w:noWrap w:val="0"/>
            <w:vAlign w:val="center"/>
          </w:tcPr>
          <w:p w14:paraId="4336F53B">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描述</w:t>
            </w:r>
          </w:p>
        </w:tc>
        <w:tc>
          <w:tcPr>
            <w:tcW w:w="585" w:type="dxa"/>
            <w:noWrap w:val="0"/>
            <w:vAlign w:val="center"/>
          </w:tcPr>
          <w:p w14:paraId="12EF8CEA">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单位</w:t>
            </w:r>
          </w:p>
        </w:tc>
        <w:tc>
          <w:tcPr>
            <w:tcW w:w="780" w:type="dxa"/>
            <w:noWrap w:val="0"/>
            <w:vAlign w:val="center"/>
          </w:tcPr>
          <w:p w14:paraId="12E2D9AD">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数量</w:t>
            </w:r>
          </w:p>
        </w:tc>
        <w:tc>
          <w:tcPr>
            <w:tcW w:w="915" w:type="dxa"/>
            <w:noWrap w:val="0"/>
            <w:vAlign w:val="center"/>
          </w:tcPr>
          <w:p w14:paraId="7E99F9CE">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单价</w:t>
            </w:r>
          </w:p>
        </w:tc>
        <w:tc>
          <w:tcPr>
            <w:tcW w:w="795" w:type="dxa"/>
            <w:noWrap w:val="0"/>
            <w:vAlign w:val="center"/>
          </w:tcPr>
          <w:p w14:paraId="04A9C6EE">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val="0"/>
                <w:bCs w:val="0"/>
                <w:i w:val="0"/>
                <w:iCs w:val="0"/>
                <w:color w:val="000000"/>
                <w:kern w:val="0"/>
                <w:sz w:val="21"/>
                <w:szCs w:val="21"/>
                <w:u w:val="none"/>
                <w:lang w:val="en-US" w:eastAsia="zh-CN" w:bidi="ar"/>
              </w:rPr>
              <w:t>总价</w:t>
            </w:r>
          </w:p>
        </w:tc>
      </w:tr>
      <w:tr w14:paraId="2AF3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90" w:type="dxa"/>
            <w:shd w:val="clear" w:color="auto" w:fill="auto"/>
            <w:noWrap w:val="0"/>
            <w:vAlign w:val="center"/>
          </w:tcPr>
          <w:p w14:paraId="4AE09377">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35" w:type="dxa"/>
            <w:shd w:val="clear" w:color="auto" w:fill="auto"/>
            <w:noWrap w:val="0"/>
            <w:vAlign w:val="center"/>
          </w:tcPr>
          <w:p w14:paraId="661357ED">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道闸</w:t>
            </w:r>
          </w:p>
        </w:tc>
        <w:tc>
          <w:tcPr>
            <w:tcW w:w="795" w:type="dxa"/>
            <w:noWrap w:val="0"/>
            <w:vAlign w:val="center"/>
          </w:tcPr>
          <w:p w14:paraId="631B6486">
            <w:pPr>
              <w:jc w:val="center"/>
              <w:rPr>
                <w:rFonts w:hint="eastAsia" w:ascii="宋体" w:hAnsi="宋体" w:cs="宋体"/>
                <w:sz w:val="24"/>
              </w:rPr>
            </w:pPr>
          </w:p>
        </w:tc>
        <w:tc>
          <w:tcPr>
            <w:tcW w:w="750" w:type="dxa"/>
            <w:noWrap w:val="0"/>
            <w:vAlign w:val="center"/>
          </w:tcPr>
          <w:p w14:paraId="4A1EDF16">
            <w:pPr>
              <w:jc w:val="center"/>
              <w:rPr>
                <w:rFonts w:hint="eastAsia" w:ascii="宋体" w:hAnsi="宋体" w:cs="宋体" w:eastAsiaTheme="minorEastAsia"/>
                <w:sz w:val="24"/>
                <w:lang w:val="en-US" w:eastAsia="zh-CN"/>
              </w:rPr>
            </w:pPr>
          </w:p>
        </w:tc>
        <w:tc>
          <w:tcPr>
            <w:tcW w:w="1530" w:type="dxa"/>
            <w:noWrap w:val="0"/>
            <w:vAlign w:val="center"/>
          </w:tcPr>
          <w:p w14:paraId="196D8C3C">
            <w:pPr>
              <w:keepNext w:val="0"/>
              <w:keepLines w:val="0"/>
              <w:widowControl/>
              <w:suppressLineNumbers w:val="0"/>
              <w:jc w:val="center"/>
              <w:textAlignment w:val="center"/>
              <w:rPr>
                <w:rFonts w:hint="eastAsia" w:ascii="宋体" w:hAnsi="宋体" w:cs="宋体" w:eastAsiaTheme="minorEastAsia"/>
                <w:sz w:val="24"/>
                <w:lang w:eastAsia="zh-CN"/>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57150</wp:posOffset>
                  </wp:positionH>
                  <wp:positionV relativeFrom="paragraph">
                    <wp:posOffset>-406400</wp:posOffset>
                  </wp:positionV>
                  <wp:extent cx="791210" cy="944245"/>
                  <wp:effectExtent l="0" t="0" r="8890" b="8255"/>
                  <wp:wrapNone/>
                  <wp:docPr id="52" name="图片_10"/>
                  <wp:cNvGraphicFramePr/>
                  <a:graphic xmlns:a="http://schemas.openxmlformats.org/drawingml/2006/main">
                    <a:graphicData uri="http://schemas.openxmlformats.org/drawingml/2006/picture">
                      <pic:pic xmlns:pic="http://schemas.openxmlformats.org/drawingml/2006/picture">
                        <pic:nvPicPr>
                          <pic:cNvPr id="52" name="图片_10"/>
                          <pic:cNvPicPr/>
                        </pic:nvPicPr>
                        <pic:blipFill>
                          <a:blip r:embed="rId4"/>
                          <a:stretch>
                            <a:fillRect/>
                          </a:stretch>
                        </pic:blipFill>
                        <pic:spPr>
                          <a:xfrm>
                            <a:off x="0" y="0"/>
                            <a:ext cx="791210" cy="944245"/>
                          </a:xfrm>
                          <a:prstGeom prst="rect">
                            <a:avLst/>
                          </a:prstGeom>
                          <a:noFill/>
                          <a:ln>
                            <a:noFill/>
                          </a:ln>
                        </pic:spPr>
                      </pic:pic>
                    </a:graphicData>
                  </a:graphic>
                </wp:anchor>
              </w:drawing>
            </w:r>
          </w:p>
        </w:tc>
        <w:tc>
          <w:tcPr>
            <w:tcW w:w="6810" w:type="dxa"/>
            <w:noWrap w:val="0"/>
            <w:vAlign w:val="center"/>
          </w:tcPr>
          <w:p w14:paraId="5E36EB4B">
            <w:pPr>
              <w:keepNext w:val="0"/>
              <w:keepLines w:val="0"/>
              <w:widowControl/>
              <w:suppressLineNumbers w:val="0"/>
              <w:jc w:val="left"/>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 电机上装有手轮装置，停电时，实现手动开启；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遥控器：可分别控制道闸1、道闸2（开启、关闭、停止）；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具备多种接口，可接入红外线、地感、雷达（出口闸机需要自动感应开启功能）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因室外使用，必须具有良好的耐用性。</w:t>
            </w:r>
          </w:p>
        </w:tc>
        <w:tc>
          <w:tcPr>
            <w:tcW w:w="585" w:type="dxa"/>
            <w:noWrap w:val="0"/>
            <w:vAlign w:val="center"/>
          </w:tcPr>
          <w:p w14:paraId="23723C98">
            <w:pPr>
              <w:keepNext w:val="0"/>
              <w:keepLines w:val="0"/>
              <w:widowControl/>
              <w:suppressLineNumbers w:val="0"/>
              <w:jc w:val="center"/>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0D2E2AFE">
            <w:pPr>
              <w:keepNext w:val="0"/>
              <w:keepLines w:val="0"/>
              <w:widowControl/>
              <w:suppressLineNumbers w:val="0"/>
              <w:jc w:val="center"/>
              <w:textAlignment w:val="center"/>
              <w:rPr>
                <w:rFonts w:hint="default" w:ascii="宋体" w:hAnsi="宋体" w:cs="宋体" w:eastAsiaTheme="minorEastAsia"/>
                <w:sz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07CDC3C9">
            <w:pPr>
              <w:jc w:val="center"/>
              <w:rPr>
                <w:rFonts w:hint="default" w:ascii="宋体" w:hAnsi="宋体" w:cs="宋体" w:eastAsiaTheme="minorEastAsia"/>
                <w:sz w:val="24"/>
                <w:lang w:val="en-US" w:eastAsia="zh-CN"/>
              </w:rPr>
            </w:pPr>
          </w:p>
        </w:tc>
        <w:tc>
          <w:tcPr>
            <w:tcW w:w="795" w:type="dxa"/>
            <w:noWrap w:val="0"/>
            <w:vAlign w:val="center"/>
          </w:tcPr>
          <w:p w14:paraId="11B5B7A4">
            <w:pPr>
              <w:jc w:val="center"/>
              <w:rPr>
                <w:rFonts w:hint="default" w:ascii="宋体" w:hAnsi="宋体" w:cs="宋体" w:eastAsiaTheme="minorEastAsia"/>
                <w:sz w:val="24"/>
                <w:lang w:val="en-US" w:eastAsia="zh-CN"/>
              </w:rPr>
            </w:pPr>
          </w:p>
        </w:tc>
      </w:tr>
      <w:tr w14:paraId="48DE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690" w:type="dxa"/>
            <w:shd w:val="clear" w:color="auto" w:fill="auto"/>
            <w:noWrap w:val="0"/>
            <w:vAlign w:val="center"/>
          </w:tcPr>
          <w:p w14:paraId="34256158">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5" w:type="dxa"/>
            <w:shd w:val="clear" w:color="auto" w:fill="auto"/>
            <w:noWrap w:val="0"/>
            <w:vAlign w:val="center"/>
          </w:tcPr>
          <w:p w14:paraId="623BBE5A">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防砸雷达</w:t>
            </w:r>
          </w:p>
        </w:tc>
        <w:tc>
          <w:tcPr>
            <w:tcW w:w="795" w:type="dxa"/>
            <w:noWrap w:val="0"/>
            <w:vAlign w:val="center"/>
          </w:tcPr>
          <w:p w14:paraId="0AA1A811">
            <w:pPr>
              <w:jc w:val="center"/>
              <w:rPr>
                <w:rFonts w:hint="eastAsia" w:ascii="宋体" w:hAnsi="宋体" w:cs="宋体"/>
                <w:bCs/>
                <w:sz w:val="24"/>
              </w:rPr>
            </w:pPr>
          </w:p>
        </w:tc>
        <w:tc>
          <w:tcPr>
            <w:tcW w:w="750" w:type="dxa"/>
            <w:noWrap w:val="0"/>
            <w:vAlign w:val="center"/>
          </w:tcPr>
          <w:p w14:paraId="2D992873">
            <w:pPr>
              <w:jc w:val="center"/>
              <w:rPr>
                <w:rFonts w:hint="eastAsia" w:ascii="宋体" w:hAnsi="宋体" w:cs="宋体"/>
                <w:bCs/>
                <w:sz w:val="24"/>
              </w:rPr>
            </w:pPr>
          </w:p>
        </w:tc>
        <w:tc>
          <w:tcPr>
            <w:tcW w:w="1530" w:type="dxa"/>
            <w:noWrap w:val="0"/>
            <w:vAlign w:val="center"/>
          </w:tcPr>
          <w:p w14:paraId="3BFA8211">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0" cy="1878965"/>
                  <wp:effectExtent l="0" t="0" r="0" b="0"/>
                  <wp:wrapNone/>
                  <wp:docPr id="53" name="Picture_26"/>
                  <wp:cNvGraphicFramePr/>
                  <a:graphic xmlns:a="http://schemas.openxmlformats.org/drawingml/2006/main">
                    <a:graphicData uri="http://schemas.openxmlformats.org/drawingml/2006/picture">
                      <pic:pic xmlns:pic="http://schemas.openxmlformats.org/drawingml/2006/picture">
                        <pic:nvPicPr>
                          <pic:cNvPr id="53" name="Picture_26"/>
                          <pic:cNvPicPr/>
                        </pic:nvPicPr>
                        <pic:blipFill>
                          <a:blip r:embed="rId5"/>
                          <a:stretch>
                            <a:fillRect/>
                          </a:stretch>
                        </pic:blipFill>
                        <pic:spPr>
                          <a:xfrm>
                            <a:off x="0" y="0"/>
                            <a:ext cx="0" cy="18789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0" cy="1878965"/>
                  <wp:effectExtent l="0" t="0" r="0" b="0"/>
                  <wp:wrapNone/>
                  <wp:docPr id="54" name="Picture_26_SpCnt_1"/>
                  <wp:cNvGraphicFramePr/>
                  <a:graphic xmlns:a="http://schemas.openxmlformats.org/drawingml/2006/main">
                    <a:graphicData uri="http://schemas.openxmlformats.org/drawingml/2006/picture">
                      <pic:pic xmlns:pic="http://schemas.openxmlformats.org/drawingml/2006/picture">
                        <pic:nvPicPr>
                          <pic:cNvPr id="54" name="Picture_26_SpCnt_1"/>
                          <pic:cNvPicPr/>
                        </pic:nvPicPr>
                        <pic:blipFill>
                          <a:blip r:embed="rId6"/>
                          <a:stretch>
                            <a:fillRect/>
                          </a:stretch>
                        </pic:blipFill>
                        <pic:spPr>
                          <a:xfrm>
                            <a:off x="0" y="0"/>
                            <a:ext cx="0" cy="18789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123190</wp:posOffset>
                  </wp:positionH>
                  <wp:positionV relativeFrom="paragraph">
                    <wp:posOffset>74295</wp:posOffset>
                  </wp:positionV>
                  <wp:extent cx="654050" cy="975360"/>
                  <wp:effectExtent l="0" t="0" r="12700" b="15240"/>
                  <wp:wrapNone/>
                  <wp:docPr id="55" name="ID_F5AF7F75ACD94797AFC02875EB917584"/>
                  <wp:cNvGraphicFramePr/>
                  <a:graphic xmlns:a="http://schemas.openxmlformats.org/drawingml/2006/main">
                    <a:graphicData uri="http://schemas.openxmlformats.org/drawingml/2006/picture">
                      <pic:pic xmlns:pic="http://schemas.openxmlformats.org/drawingml/2006/picture">
                        <pic:nvPicPr>
                          <pic:cNvPr id="55" name="ID_F5AF7F75ACD94797AFC02875EB917584"/>
                          <pic:cNvPicPr/>
                        </pic:nvPicPr>
                        <pic:blipFill>
                          <a:blip r:embed="rId7"/>
                          <a:stretch>
                            <a:fillRect/>
                          </a:stretch>
                        </pic:blipFill>
                        <pic:spPr>
                          <a:xfrm>
                            <a:off x="0" y="0"/>
                            <a:ext cx="654050" cy="975360"/>
                          </a:xfrm>
                          <a:prstGeom prst="rect">
                            <a:avLst/>
                          </a:prstGeom>
                          <a:noFill/>
                          <a:ln>
                            <a:noFill/>
                          </a:ln>
                        </pic:spPr>
                      </pic:pic>
                    </a:graphicData>
                  </a:graphic>
                </wp:anchor>
              </w:drawing>
            </w:r>
          </w:p>
        </w:tc>
        <w:tc>
          <w:tcPr>
            <w:tcW w:w="6810" w:type="dxa"/>
            <w:noWrap w:val="0"/>
            <w:vAlign w:val="center"/>
          </w:tcPr>
          <w:p w14:paraId="6D1E7007">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雷达检测距离可调，检测宽度可调，操作方便，通用性强；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无需学习背景，适应更多复杂现场环境；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提供RS485串口或蓝牙通讯功能，手机APP，可对雷达进行在线调试、固件升级，操作更方便；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安装与维护方便，所需人力少，工时短。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采用先进的信号处理技术，可稳定检测到行人和车辆，有效防止“砸车、砸人”事故的发生。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采用LED灯指示雷达工作状态，状态更直观。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自动记录雷达的配置参数，断电重启后可恢复至之前的工作状态；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因室外使用，必须具有良好的耐用性。</w:t>
            </w:r>
          </w:p>
        </w:tc>
        <w:tc>
          <w:tcPr>
            <w:tcW w:w="585" w:type="dxa"/>
            <w:noWrap w:val="0"/>
            <w:vAlign w:val="center"/>
          </w:tcPr>
          <w:p w14:paraId="68A8BA6C">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49674FC1">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06E9133E">
            <w:pPr>
              <w:jc w:val="center"/>
              <w:rPr>
                <w:rFonts w:hint="eastAsia" w:ascii="宋体" w:hAnsi="宋体" w:cs="宋体"/>
                <w:bCs/>
                <w:sz w:val="24"/>
              </w:rPr>
            </w:pPr>
          </w:p>
        </w:tc>
        <w:tc>
          <w:tcPr>
            <w:tcW w:w="795" w:type="dxa"/>
            <w:noWrap w:val="0"/>
            <w:vAlign w:val="center"/>
          </w:tcPr>
          <w:p w14:paraId="789931A8">
            <w:pPr>
              <w:jc w:val="center"/>
              <w:rPr>
                <w:rFonts w:hint="eastAsia" w:ascii="宋体" w:hAnsi="宋体" w:cs="宋体"/>
                <w:bCs/>
                <w:sz w:val="24"/>
              </w:rPr>
            </w:pPr>
          </w:p>
        </w:tc>
      </w:tr>
      <w:tr w14:paraId="2FE2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2" w:hRule="atLeast"/>
        </w:trPr>
        <w:tc>
          <w:tcPr>
            <w:tcW w:w="690" w:type="dxa"/>
            <w:shd w:val="clear" w:color="auto" w:fill="auto"/>
            <w:noWrap w:val="0"/>
            <w:vAlign w:val="center"/>
          </w:tcPr>
          <w:p w14:paraId="3591CA3E">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735" w:type="dxa"/>
            <w:shd w:val="clear" w:color="auto" w:fill="auto"/>
            <w:noWrap w:val="0"/>
            <w:vAlign w:val="center"/>
          </w:tcPr>
          <w:p w14:paraId="56544ED2">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人脸识别一体机</w:t>
            </w:r>
          </w:p>
        </w:tc>
        <w:tc>
          <w:tcPr>
            <w:tcW w:w="795" w:type="dxa"/>
            <w:noWrap w:val="0"/>
            <w:vAlign w:val="center"/>
          </w:tcPr>
          <w:p w14:paraId="734ACCC0">
            <w:pPr>
              <w:jc w:val="center"/>
              <w:rPr>
                <w:rFonts w:hint="eastAsia" w:ascii="宋体" w:hAnsi="宋体" w:cs="宋体"/>
                <w:bCs/>
                <w:sz w:val="24"/>
              </w:rPr>
            </w:pPr>
          </w:p>
        </w:tc>
        <w:tc>
          <w:tcPr>
            <w:tcW w:w="750" w:type="dxa"/>
            <w:noWrap w:val="0"/>
            <w:vAlign w:val="center"/>
          </w:tcPr>
          <w:p w14:paraId="3545FD04">
            <w:pPr>
              <w:jc w:val="center"/>
              <w:rPr>
                <w:rFonts w:hint="eastAsia" w:ascii="宋体" w:hAnsi="宋体" w:cs="宋体"/>
                <w:bCs/>
                <w:sz w:val="24"/>
              </w:rPr>
            </w:pPr>
          </w:p>
        </w:tc>
        <w:tc>
          <w:tcPr>
            <w:tcW w:w="1530" w:type="dxa"/>
            <w:noWrap w:val="0"/>
            <w:vAlign w:val="center"/>
          </w:tcPr>
          <w:p w14:paraId="7080BF08">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97790</wp:posOffset>
                  </wp:positionH>
                  <wp:positionV relativeFrom="paragraph">
                    <wp:posOffset>52070</wp:posOffset>
                  </wp:positionV>
                  <wp:extent cx="695325" cy="1255395"/>
                  <wp:effectExtent l="0" t="0" r="9525" b="1905"/>
                  <wp:wrapNone/>
                  <wp:docPr id="56" name="图片_2"/>
                  <wp:cNvGraphicFramePr/>
                  <a:graphic xmlns:a="http://schemas.openxmlformats.org/drawingml/2006/main">
                    <a:graphicData uri="http://schemas.openxmlformats.org/drawingml/2006/picture">
                      <pic:pic xmlns:pic="http://schemas.openxmlformats.org/drawingml/2006/picture">
                        <pic:nvPicPr>
                          <pic:cNvPr id="56" name="图片_2"/>
                          <pic:cNvPicPr/>
                        </pic:nvPicPr>
                        <pic:blipFill>
                          <a:blip r:embed="rId8"/>
                          <a:stretch>
                            <a:fillRect/>
                          </a:stretch>
                        </pic:blipFill>
                        <pic:spPr>
                          <a:xfrm>
                            <a:off x="0" y="0"/>
                            <a:ext cx="695325" cy="1255395"/>
                          </a:xfrm>
                          <a:prstGeom prst="rect">
                            <a:avLst/>
                          </a:prstGeom>
                          <a:noFill/>
                          <a:ln>
                            <a:noFill/>
                          </a:ln>
                        </pic:spPr>
                      </pic:pic>
                    </a:graphicData>
                  </a:graphic>
                </wp:anchor>
              </w:drawing>
            </w:r>
          </w:p>
        </w:tc>
        <w:tc>
          <w:tcPr>
            <w:tcW w:w="6810" w:type="dxa"/>
            <w:noWrap w:val="0"/>
            <w:vAlign w:val="center"/>
          </w:tcPr>
          <w:p w14:paraId="478DB81C">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xml:space="preserve">l 屏幕参数：7 英寸 LCD 触摸显示屏，屏幕比例 9:16，屏幕分辨率 600*1024；l 摄像头参数：采用宽动态 200 万双目摄像头，采用星光级图像传感器，无需白光补光灯，在暗光或无光环境下人脸识别效果不受影响；l 认证方式：支持人脸、刷卡（Mifare 卡/IC 卡、手机 NFC 卡、CPU 卡序列号、身份证卡序列号）、密码认证方式，可外接身份证、指纹、蓝牙、二维码功能模块；l 人脸识别：采用深度学习算法，支持单人或多人识别（最多 5 人同时认证）功能；支持照片、视频防假； 1:N 人脸识别速度＜0.2s，人脸验证准确率≥99%；人脸识别距离＞2m；l 存储容量：本地支持 1 万人脸库、5 万张卡，15 万条事件记录（T 型号支持 10 万人脸库、10 万张卡， 15 万条事件记录）；l 可视对讲：支持和海康互联 APP、室内机、管理机进行可视对讲；支持配置一键呼叫室内机或管理机；支持副门口机或围墙机模式；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l 视频预览：支持管理中心远程视频预览，支持接入 NVR 设备，实现视频监控录像，编码格式 H.264 ；识别界面可配：识别主界面的“呼叫”、“密码”的按键图标可分别配置是否显示；l 认证结果显示可配：支持认证成功界面的“照片”、“姓名”、“工号”信息可配置是否显示；且支持姓名和工号的脱敏显示l 认证结果语音自定义：集成文字转语音（TTS）和语音合成技术，认证成功和认证失败的语音可以分别配置 4 个时间段进行自定义播报，同时认证成功的语音可叠加播报姓名；l 主题模式：支持认证模式和广告模式的主题模式；ü 认证模式：认证界面显示预览画面，认证时显示认证人员的姓名、工号、人脸图片等信息；ü 广告模式：支持图片（JPG 格式，分辨率建议 600*640，最多 8 张轮播）广告信息播放，且支持配置人脸识别失败时是否显示预览画面；l 外接安全模块：支持通过经销私有 RS485 接入门控安全模块，防止主机被恶意破坏的情况下，门锁不被打开；l 外接读卡器：支持通过韦根（W26/W34/W27/W35）接口外接 1 个读卡器；l 读卡器模式：支持通过经销私有 RS485 或韦根（W26/W34/W27/W35）接入门禁控制器，作为读卡器模式使用；l 门禁计划模板：支持 255 组计划模板管理，128 个周计划，1024 个假日计划；支持常开、常闭时段管理；l 多重认证：支持多个人员认证（人脸、刷卡等）通过后才开门；l 非授权人员核验：支持中心下发非授权人员信息，实现本地非授权人员核验；l 报警功能：设备支持防拆报警、门被外力开起报警、胁迫卡和胁迫密码报警、非授权人员报警等；l 事件上传：在线状态下将设备认证结果及联动抓拍照片实时上传给平台，支持断网续传功能，设备离线状态下产生事件在与平台连接后会重新上传; l 单机使用：设备可进行本地管理，支持本地注册人脸、查询、设置、管理设备参数等；l WEB 管理：支持手机及 PC 端 Web 操作，可进行人员管理、认证配置等操作。 </w:t>
            </w:r>
          </w:p>
        </w:tc>
        <w:tc>
          <w:tcPr>
            <w:tcW w:w="585" w:type="dxa"/>
            <w:noWrap w:val="0"/>
            <w:vAlign w:val="center"/>
          </w:tcPr>
          <w:p w14:paraId="1160165C">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4F06ED4A">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1</w:t>
            </w:r>
          </w:p>
        </w:tc>
        <w:tc>
          <w:tcPr>
            <w:tcW w:w="915" w:type="dxa"/>
            <w:noWrap w:val="0"/>
            <w:vAlign w:val="center"/>
          </w:tcPr>
          <w:p w14:paraId="40F9EB74">
            <w:pPr>
              <w:jc w:val="center"/>
              <w:rPr>
                <w:rFonts w:hint="eastAsia" w:ascii="宋体" w:hAnsi="宋体" w:cs="宋体"/>
                <w:bCs/>
                <w:sz w:val="24"/>
              </w:rPr>
            </w:pPr>
          </w:p>
        </w:tc>
        <w:tc>
          <w:tcPr>
            <w:tcW w:w="795" w:type="dxa"/>
            <w:noWrap w:val="0"/>
            <w:vAlign w:val="center"/>
          </w:tcPr>
          <w:p w14:paraId="32C62EF4">
            <w:pPr>
              <w:jc w:val="center"/>
              <w:rPr>
                <w:rFonts w:hint="eastAsia" w:ascii="宋体" w:hAnsi="宋体" w:cs="宋体"/>
                <w:bCs/>
                <w:sz w:val="24"/>
              </w:rPr>
            </w:pPr>
          </w:p>
        </w:tc>
      </w:tr>
      <w:tr w14:paraId="6523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690" w:type="dxa"/>
            <w:shd w:val="clear" w:color="auto" w:fill="auto"/>
            <w:noWrap w:val="0"/>
            <w:vAlign w:val="center"/>
          </w:tcPr>
          <w:p w14:paraId="0BE7976D">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735" w:type="dxa"/>
            <w:shd w:val="clear" w:color="auto" w:fill="auto"/>
            <w:noWrap w:val="0"/>
            <w:vAlign w:val="center"/>
          </w:tcPr>
          <w:p w14:paraId="271B6012">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门禁立柱</w:t>
            </w:r>
          </w:p>
        </w:tc>
        <w:tc>
          <w:tcPr>
            <w:tcW w:w="795" w:type="dxa"/>
            <w:noWrap w:val="0"/>
            <w:vAlign w:val="center"/>
          </w:tcPr>
          <w:p w14:paraId="26700B86">
            <w:pPr>
              <w:jc w:val="center"/>
              <w:rPr>
                <w:rFonts w:hint="eastAsia" w:ascii="宋体" w:hAnsi="宋体" w:cs="宋体"/>
                <w:bCs/>
                <w:sz w:val="24"/>
              </w:rPr>
            </w:pPr>
          </w:p>
        </w:tc>
        <w:tc>
          <w:tcPr>
            <w:tcW w:w="750" w:type="dxa"/>
            <w:noWrap w:val="0"/>
            <w:vAlign w:val="center"/>
          </w:tcPr>
          <w:p w14:paraId="7AF9FC81">
            <w:pPr>
              <w:jc w:val="center"/>
              <w:rPr>
                <w:rFonts w:hint="eastAsia" w:ascii="宋体" w:hAnsi="宋体" w:cs="宋体"/>
                <w:bCs/>
                <w:sz w:val="24"/>
              </w:rPr>
            </w:pPr>
          </w:p>
        </w:tc>
        <w:tc>
          <w:tcPr>
            <w:tcW w:w="1530" w:type="dxa"/>
            <w:noWrap w:val="0"/>
            <w:vAlign w:val="center"/>
          </w:tcPr>
          <w:p w14:paraId="1A39F47F">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314960</wp:posOffset>
                  </wp:positionH>
                  <wp:positionV relativeFrom="paragraph">
                    <wp:posOffset>-50165</wp:posOffset>
                  </wp:positionV>
                  <wp:extent cx="190500" cy="393700"/>
                  <wp:effectExtent l="0" t="0" r="0" b="6350"/>
                  <wp:wrapNone/>
                  <wp:docPr id="57" name="ID_4A62E45E61904F3FABA0E8390D58448D"/>
                  <wp:cNvGraphicFramePr/>
                  <a:graphic xmlns:a="http://schemas.openxmlformats.org/drawingml/2006/main">
                    <a:graphicData uri="http://schemas.openxmlformats.org/drawingml/2006/picture">
                      <pic:pic xmlns:pic="http://schemas.openxmlformats.org/drawingml/2006/picture">
                        <pic:nvPicPr>
                          <pic:cNvPr id="57" name="ID_4A62E45E61904F3FABA0E8390D58448D"/>
                          <pic:cNvPicPr/>
                        </pic:nvPicPr>
                        <pic:blipFill>
                          <a:blip r:embed="rId9"/>
                          <a:stretch>
                            <a:fillRect/>
                          </a:stretch>
                        </pic:blipFill>
                        <pic:spPr>
                          <a:xfrm>
                            <a:off x="0" y="0"/>
                            <a:ext cx="190500" cy="393700"/>
                          </a:xfrm>
                          <a:prstGeom prst="rect">
                            <a:avLst/>
                          </a:prstGeom>
                          <a:noFill/>
                          <a:ln>
                            <a:noFill/>
                          </a:ln>
                        </pic:spPr>
                      </pic:pic>
                    </a:graphicData>
                  </a:graphic>
                </wp:anchor>
              </w:drawing>
            </w:r>
          </w:p>
        </w:tc>
        <w:tc>
          <w:tcPr>
            <w:tcW w:w="6810" w:type="dxa"/>
            <w:noWrap w:val="0"/>
            <w:vAlign w:val="center"/>
          </w:tcPr>
          <w:p w14:paraId="4372BDED">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立式安装</w:t>
            </w:r>
          </w:p>
        </w:tc>
        <w:tc>
          <w:tcPr>
            <w:tcW w:w="585" w:type="dxa"/>
            <w:noWrap w:val="0"/>
            <w:vAlign w:val="center"/>
          </w:tcPr>
          <w:p w14:paraId="14EFAEF4">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3BC20A68">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70F5ED6C">
            <w:pPr>
              <w:jc w:val="center"/>
              <w:rPr>
                <w:rFonts w:hint="eastAsia" w:ascii="宋体" w:hAnsi="宋体" w:cs="宋体"/>
                <w:bCs/>
                <w:sz w:val="24"/>
              </w:rPr>
            </w:pPr>
          </w:p>
        </w:tc>
        <w:tc>
          <w:tcPr>
            <w:tcW w:w="795" w:type="dxa"/>
            <w:noWrap w:val="0"/>
            <w:vAlign w:val="center"/>
          </w:tcPr>
          <w:p w14:paraId="763F4297">
            <w:pPr>
              <w:jc w:val="center"/>
              <w:rPr>
                <w:rFonts w:hint="eastAsia" w:ascii="宋体" w:hAnsi="宋体" w:cs="宋体"/>
                <w:bCs/>
                <w:sz w:val="24"/>
              </w:rPr>
            </w:pPr>
          </w:p>
        </w:tc>
      </w:tr>
      <w:tr w14:paraId="3095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690" w:type="dxa"/>
            <w:noWrap w:val="0"/>
            <w:vAlign w:val="center"/>
          </w:tcPr>
          <w:p w14:paraId="477964D1">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735" w:type="dxa"/>
            <w:noWrap w:val="0"/>
            <w:vAlign w:val="center"/>
          </w:tcPr>
          <w:p w14:paraId="1D75C503">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门禁电源</w:t>
            </w:r>
          </w:p>
        </w:tc>
        <w:tc>
          <w:tcPr>
            <w:tcW w:w="795" w:type="dxa"/>
            <w:noWrap w:val="0"/>
            <w:vAlign w:val="center"/>
          </w:tcPr>
          <w:p w14:paraId="69C509FE">
            <w:pPr>
              <w:jc w:val="center"/>
              <w:rPr>
                <w:rFonts w:hint="eastAsia" w:ascii="宋体" w:hAnsi="宋体" w:cs="宋体"/>
                <w:bCs/>
                <w:sz w:val="24"/>
              </w:rPr>
            </w:pPr>
          </w:p>
        </w:tc>
        <w:tc>
          <w:tcPr>
            <w:tcW w:w="750" w:type="dxa"/>
            <w:noWrap w:val="0"/>
            <w:vAlign w:val="center"/>
          </w:tcPr>
          <w:p w14:paraId="60AA9447">
            <w:pPr>
              <w:jc w:val="center"/>
              <w:rPr>
                <w:rFonts w:hint="eastAsia" w:ascii="宋体" w:hAnsi="宋体" w:cs="宋体"/>
                <w:bCs/>
                <w:sz w:val="24"/>
              </w:rPr>
            </w:pPr>
          </w:p>
        </w:tc>
        <w:tc>
          <w:tcPr>
            <w:tcW w:w="1530" w:type="dxa"/>
            <w:noWrap w:val="0"/>
            <w:vAlign w:val="center"/>
          </w:tcPr>
          <w:p w14:paraId="2E927A63">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34925</wp:posOffset>
                  </wp:positionH>
                  <wp:positionV relativeFrom="paragraph">
                    <wp:posOffset>-47625</wp:posOffset>
                  </wp:positionV>
                  <wp:extent cx="630555" cy="320675"/>
                  <wp:effectExtent l="0" t="0" r="17145" b="3175"/>
                  <wp:wrapNone/>
                  <wp:docPr id="58" name="图片_1"/>
                  <wp:cNvGraphicFramePr/>
                  <a:graphic xmlns:a="http://schemas.openxmlformats.org/drawingml/2006/main">
                    <a:graphicData uri="http://schemas.openxmlformats.org/drawingml/2006/picture">
                      <pic:pic xmlns:pic="http://schemas.openxmlformats.org/drawingml/2006/picture">
                        <pic:nvPicPr>
                          <pic:cNvPr id="58" name="图片_1"/>
                          <pic:cNvPicPr/>
                        </pic:nvPicPr>
                        <pic:blipFill>
                          <a:blip r:embed="rId10"/>
                          <a:stretch>
                            <a:fillRect/>
                          </a:stretch>
                        </pic:blipFill>
                        <pic:spPr>
                          <a:xfrm>
                            <a:off x="0" y="0"/>
                            <a:ext cx="630555" cy="320675"/>
                          </a:xfrm>
                          <a:prstGeom prst="rect">
                            <a:avLst/>
                          </a:prstGeom>
                          <a:noFill/>
                          <a:ln>
                            <a:noFill/>
                          </a:ln>
                        </pic:spPr>
                      </pic:pic>
                    </a:graphicData>
                  </a:graphic>
                </wp:anchor>
              </w:drawing>
            </w:r>
          </w:p>
        </w:tc>
        <w:tc>
          <w:tcPr>
            <w:tcW w:w="6810" w:type="dxa"/>
            <w:noWrap w:val="0"/>
            <w:vAlign w:val="center"/>
          </w:tcPr>
          <w:p w14:paraId="4E95F102">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输入电压AC110-240V;输入频率50-60Hz；输出电压DC12V,输出电流3A</w:t>
            </w:r>
          </w:p>
        </w:tc>
        <w:tc>
          <w:tcPr>
            <w:tcW w:w="585" w:type="dxa"/>
            <w:noWrap w:val="0"/>
            <w:vAlign w:val="center"/>
          </w:tcPr>
          <w:p w14:paraId="21F8DF0C">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0215D101">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2</w:t>
            </w:r>
          </w:p>
        </w:tc>
        <w:tc>
          <w:tcPr>
            <w:tcW w:w="915" w:type="dxa"/>
            <w:noWrap w:val="0"/>
            <w:vAlign w:val="center"/>
          </w:tcPr>
          <w:p w14:paraId="043973BC">
            <w:pPr>
              <w:jc w:val="center"/>
              <w:rPr>
                <w:rFonts w:hint="eastAsia" w:ascii="宋体" w:hAnsi="宋体" w:cs="宋体"/>
                <w:bCs/>
                <w:sz w:val="24"/>
              </w:rPr>
            </w:pPr>
          </w:p>
        </w:tc>
        <w:tc>
          <w:tcPr>
            <w:tcW w:w="795" w:type="dxa"/>
            <w:noWrap w:val="0"/>
            <w:vAlign w:val="center"/>
          </w:tcPr>
          <w:p w14:paraId="4590E742">
            <w:pPr>
              <w:jc w:val="center"/>
              <w:rPr>
                <w:rFonts w:hint="eastAsia" w:ascii="宋体" w:hAnsi="宋体" w:cs="宋体"/>
                <w:bCs/>
                <w:sz w:val="24"/>
              </w:rPr>
            </w:pPr>
          </w:p>
        </w:tc>
      </w:tr>
      <w:tr w14:paraId="2017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90" w:type="dxa"/>
            <w:noWrap w:val="0"/>
            <w:vAlign w:val="center"/>
          </w:tcPr>
          <w:p w14:paraId="26E9953D">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35" w:type="dxa"/>
            <w:noWrap w:val="0"/>
            <w:vAlign w:val="center"/>
          </w:tcPr>
          <w:p w14:paraId="18209BBE">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val="0"/>
                <w:bCs w:val="0"/>
                <w:i w:val="0"/>
                <w:iCs w:val="0"/>
                <w:color w:val="000000"/>
                <w:kern w:val="0"/>
                <w:sz w:val="24"/>
                <w:szCs w:val="24"/>
                <w:u w:val="none"/>
                <w:lang w:val="en-US" w:eastAsia="zh-CN" w:bidi="ar"/>
              </w:rPr>
              <w:t>行人安检亭</w:t>
            </w:r>
          </w:p>
        </w:tc>
        <w:tc>
          <w:tcPr>
            <w:tcW w:w="795" w:type="dxa"/>
            <w:noWrap w:val="0"/>
            <w:vAlign w:val="center"/>
          </w:tcPr>
          <w:p w14:paraId="6B3B3672">
            <w:pPr>
              <w:jc w:val="center"/>
              <w:rPr>
                <w:rFonts w:hint="eastAsia" w:ascii="宋体" w:hAnsi="宋体" w:cs="宋体"/>
                <w:bCs/>
                <w:sz w:val="24"/>
              </w:rPr>
            </w:pPr>
          </w:p>
        </w:tc>
        <w:tc>
          <w:tcPr>
            <w:tcW w:w="750" w:type="dxa"/>
            <w:noWrap w:val="0"/>
            <w:vAlign w:val="center"/>
          </w:tcPr>
          <w:p w14:paraId="2127A591">
            <w:pPr>
              <w:jc w:val="center"/>
              <w:rPr>
                <w:rFonts w:hint="eastAsia" w:ascii="宋体" w:hAnsi="宋体" w:cs="宋体"/>
                <w:bCs/>
                <w:sz w:val="24"/>
              </w:rPr>
            </w:pPr>
          </w:p>
        </w:tc>
        <w:tc>
          <w:tcPr>
            <w:tcW w:w="1530" w:type="dxa"/>
            <w:noWrap w:val="0"/>
            <w:vAlign w:val="center"/>
          </w:tcPr>
          <w:p w14:paraId="2B4E15CA">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27305</wp:posOffset>
                  </wp:positionH>
                  <wp:positionV relativeFrom="paragraph">
                    <wp:posOffset>-132715</wp:posOffset>
                  </wp:positionV>
                  <wp:extent cx="561975" cy="569595"/>
                  <wp:effectExtent l="0" t="0" r="9525" b="1905"/>
                  <wp:wrapNone/>
                  <wp:docPr id="59" name="图片_9"/>
                  <wp:cNvGraphicFramePr/>
                  <a:graphic xmlns:a="http://schemas.openxmlformats.org/drawingml/2006/main">
                    <a:graphicData uri="http://schemas.openxmlformats.org/drawingml/2006/picture">
                      <pic:pic xmlns:pic="http://schemas.openxmlformats.org/drawingml/2006/picture">
                        <pic:nvPicPr>
                          <pic:cNvPr id="59" name="图片_9"/>
                          <pic:cNvPicPr/>
                        </pic:nvPicPr>
                        <pic:blipFill>
                          <a:blip r:embed="rId11"/>
                          <a:stretch>
                            <a:fillRect/>
                          </a:stretch>
                        </pic:blipFill>
                        <pic:spPr>
                          <a:xfrm>
                            <a:off x="0" y="0"/>
                            <a:ext cx="561975" cy="569595"/>
                          </a:xfrm>
                          <a:prstGeom prst="rect">
                            <a:avLst/>
                          </a:prstGeom>
                          <a:noFill/>
                          <a:ln>
                            <a:noFill/>
                          </a:ln>
                        </pic:spPr>
                      </pic:pic>
                    </a:graphicData>
                  </a:graphic>
                </wp:anchor>
              </w:drawing>
            </w:r>
          </w:p>
        </w:tc>
        <w:tc>
          <w:tcPr>
            <w:tcW w:w="6810" w:type="dxa"/>
            <w:noWrap w:val="0"/>
            <w:vAlign w:val="center"/>
          </w:tcPr>
          <w:p w14:paraId="750F6E39">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安检机移装至本亭内,安检机需占地9平米；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非机动车道有延伸挑檐，为非机动车道闸机提供避雨；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安检亭主体结构为钢结构，外墙面为金属复合板，材质具备耐候性、防腐蚀的特点；一侧墙面镶嵌钢化玻璃，搭配黑色金属收边条；通道两头采用铝合金加玻璃，上部开窗通风；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安检亭外观和医院原有岗位亭保持一致。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进出口两端留1.5*2.2门洞，无需装门。</w:t>
            </w:r>
          </w:p>
        </w:tc>
        <w:tc>
          <w:tcPr>
            <w:tcW w:w="585" w:type="dxa"/>
            <w:noWrap w:val="0"/>
            <w:vAlign w:val="center"/>
          </w:tcPr>
          <w:p w14:paraId="3ECCECF2">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平米</w:t>
            </w:r>
          </w:p>
        </w:tc>
        <w:tc>
          <w:tcPr>
            <w:tcW w:w="780" w:type="dxa"/>
            <w:noWrap w:val="0"/>
            <w:vAlign w:val="center"/>
          </w:tcPr>
          <w:p w14:paraId="692650EA">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 xml:space="preserve">12.25 </w:t>
            </w:r>
          </w:p>
        </w:tc>
        <w:tc>
          <w:tcPr>
            <w:tcW w:w="915" w:type="dxa"/>
            <w:noWrap w:val="0"/>
            <w:vAlign w:val="center"/>
          </w:tcPr>
          <w:p w14:paraId="2AD8405E">
            <w:pPr>
              <w:jc w:val="center"/>
              <w:rPr>
                <w:rFonts w:hint="eastAsia" w:ascii="宋体" w:hAnsi="宋体" w:cs="宋体"/>
                <w:bCs/>
                <w:sz w:val="24"/>
              </w:rPr>
            </w:pPr>
          </w:p>
        </w:tc>
        <w:tc>
          <w:tcPr>
            <w:tcW w:w="795" w:type="dxa"/>
            <w:noWrap w:val="0"/>
            <w:vAlign w:val="center"/>
          </w:tcPr>
          <w:p w14:paraId="164A3B86">
            <w:pPr>
              <w:jc w:val="center"/>
              <w:rPr>
                <w:rFonts w:hint="eastAsia" w:ascii="宋体" w:hAnsi="宋体" w:cs="宋体"/>
                <w:bCs/>
                <w:sz w:val="24"/>
              </w:rPr>
            </w:pPr>
          </w:p>
        </w:tc>
      </w:tr>
      <w:tr w14:paraId="7D07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690" w:type="dxa"/>
            <w:noWrap w:val="0"/>
            <w:vAlign w:val="center"/>
          </w:tcPr>
          <w:p w14:paraId="366240A3">
            <w:pPr>
              <w:jc w:val="center"/>
              <w:rPr>
                <w:rFonts w:hint="default" w:ascii="宋体" w:hAnsi="宋体" w:cs="宋体" w:eastAsiaTheme="minorEastAsia"/>
                <w:kern w:val="0"/>
                <w:sz w:val="24"/>
                <w:lang w:val="en-US" w:eastAsia="zh-CN"/>
              </w:rPr>
            </w:pPr>
          </w:p>
        </w:tc>
        <w:tc>
          <w:tcPr>
            <w:tcW w:w="735" w:type="dxa"/>
            <w:noWrap w:val="0"/>
            <w:vAlign w:val="center"/>
          </w:tcPr>
          <w:p w14:paraId="6C0C812E">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安检机移装</w:t>
            </w:r>
          </w:p>
        </w:tc>
        <w:tc>
          <w:tcPr>
            <w:tcW w:w="795" w:type="dxa"/>
            <w:noWrap w:val="0"/>
            <w:vAlign w:val="center"/>
          </w:tcPr>
          <w:p w14:paraId="40583D5D">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w:t>
            </w:r>
          </w:p>
        </w:tc>
        <w:tc>
          <w:tcPr>
            <w:tcW w:w="750" w:type="dxa"/>
            <w:noWrap w:val="0"/>
            <w:vAlign w:val="center"/>
          </w:tcPr>
          <w:p w14:paraId="6AC5B316">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安检机移装</w:t>
            </w:r>
          </w:p>
        </w:tc>
        <w:tc>
          <w:tcPr>
            <w:tcW w:w="1530" w:type="dxa"/>
            <w:noWrap w:val="0"/>
            <w:vAlign w:val="center"/>
          </w:tcPr>
          <w:p w14:paraId="0FFA5CA6">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安检机移装</w:t>
            </w:r>
          </w:p>
        </w:tc>
        <w:tc>
          <w:tcPr>
            <w:tcW w:w="6810" w:type="dxa"/>
            <w:noWrap w:val="0"/>
            <w:vAlign w:val="center"/>
          </w:tcPr>
          <w:p w14:paraId="4D826414">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安检机移装,含设备电源铺设等其余费用。</w:t>
            </w:r>
          </w:p>
        </w:tc>
        <w:tc>
          <w:tcPr>
            <w:tcW w:w="585" w:type="dxa"/>
            <w:noWrap w:val="0"/>
            <w:vAlign w:val="center"/>
          </w:tcPr>
          <w:p w14:paraId="43E5168B">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0F9D03F3">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w:t>
            </w:r>
          </w:p>
        </w:tc>
        <w:tc>
          <w:tcPr>
            <w:tcW w:w="915" w:type="dxa"/>
            <w:noWrap w:val="0"/>
            <w:vAlign w:val="center"/>
          </w:tcPr>
          <w:p w14:paraId="5E1647DF">
            <w:pPr>
              <w:jc w:val="center"/>
              <w:rPr>
                <w:rFonts w:hint="eastAsia" w:ascii="宋体" w:hAnsi="宋体" w:cs="宋体"/>
                <w:bCs/>
                <w:sz w:val="24"/>
              </w:rPr>
            </w:pPr>
          </w:p>
        </w:tc>
        <w:tc>
          <w:tcPr>
            <w:tcW w:w="795" w:type="dxa"/>
            <w:noWrap w:val="0"/>
            <w:vAlign w:val="center"/>
          </w:tcPr>
          <w:p w14:paraId="15994096">
            <w:pPr>
              <w:jc w:val="center"/>
              <w:rPr>
                <w:rFonts w:hint="eastAsia" w:ascii="宋体" w:hAnsi="宋体" w:cs="宋体"/>
                <w:bCs/>
                <w:sz w:val="24"/>
              </w:rPr>
            </w:pPr>
          </w:p>
        </w:tc>
      </w:tr>
      <w:tr w14:paraId="7BFD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90" w:type="dxa"/>
            <w:noWrap w:val="0"/>
            <w:vAlign w:val="center"/>
          </w:tcPr>
          <w:p w14:paraId="358756A6">
            <w:pPr>
              <w:jc w:val="center"/>
              <w:rPr>
                <w:rFonts w:hint="default" w:ascii="宋体" w:hAnsi="宋体" w:cs="宋体" w:eastAsiaTheme="minorEastAsia"/>
                <w:kern w:val="0"/>
                <w:sz w:val="24"/>
                <w:lang w:val="en-US" w:eastAsia="zh-CN"/>
              </w:rPr>
            </w:pPr>
          </w:p>
        </w:tc>
        <w:tc>
          <w:tcPr>
            <w:tcW w:w="735" w:type="dxa"/>
            <w:noWrap w:val="0"/>
            <w:vAlign w:val="center"/>
          </w:tcPr>
          <w:p w14:paraId="1841DDCD">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其余费用</w:t>
            </w:r>
          </w:p>
        </w:tc>
        <w:tc>
          <w:tcPr>
            <w:tcW w:w="795" w:type="dxa"/>
            <w:noWrap w:val="0"/>
            <w:vAlign w:val="center"/>
          </w:tcPr>
          <w:p w14:paraId="1CF353E6">
            <w:pPr>
              <w:jc w:val="center"/>
              <w:rPr>
                <w:rFonts w:hint="eastAsia" w:ascii="宋体" w:hAnsi="宋体" w:cs="宋体"/>
                <w:bCs/>
                <w:sz w:val="24"/>
              </w:rPr>
            </w:pPr>
          </w:p>
        </w:tc>
        <w:tc>
          <w:tcPr>
            <w:tcW w:w="750" w:type="dxa"/>
            <w:noWrap w:val="0"/>
            <w:vAlign w:val="center"/>
          </w:tcPr>
          <w:p w14:paraId="624B903C">
            <w:pPr>
              <w:jc w:val="center"/>
              <w:rPr>
                <w:rFonts w:hint="eastAsia" w:ascii="宋体" w:hAnsi="宋体" w:cs="宋体"/>
                <w:bCs/>
                <w:sz w:val="24"/>
              </w:rPr>
            </w:pPr>
          </w:p>
        </w:tc>
        <w:tc>
          <w:tcPr>
            <w:tcW w:w="1530" w:type="dxa"/>
            <w:noWrap w:val="0"/>
            <w:vAlign w:val="center"/>
          </w:tcPr>
          <w:p w14:paraId="059C5E7C">
            <w:pPr>
              <w:jc w:val="center"/>
              <w:rPr>
                <w:rFonts w:hint="eastAsia" w:ascii="宋体" w:hAnsi="宋体" w:cs="宋体"/>
                <w:bCs/>
                <w:sz w:val="24"/>
              </w:rPr>
            </w:pPr>
          </w:p>
        </w:tc>
        <w:tc>
          <w:tcPr>
            <w:tcW w:w="6810" w:type="dxa"/>
            <w:noWrap w:val="0"/>
            <w:vAlign w:val="center"/>
          </w:tcPr>
          <w:p w14:paraId="22FE8979">
            <w:pPr>
              <w:keepNext w:val="0"/>
              <w:keepLines w:val="0"/>
              <w:widowControl/>
              <w:suppressLineNumbers w:val="0"/>
              <w:jc w:val="left"/>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含所有设备安装及配套实施（如：道闸机服务器、交换机、设备电源、网线等）</w:t>
            </w:r>
          </w:p>
        </w:tc>
        <w:tc>
          <w:tcPr>
            <w:tcW w:w="585" w:type="dxa"/>
            <w:noWrap w:val="0"/>
            <w:vAlign w:val="center"/>
          </w:tcPr>
          <w:p w14:paraId="28C38927">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0F3E0D78">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w:t>
            </w:r>
          </w:p>
        </w:tc>
        <w:tc>
          <w:tcPr>
            <w:tcW w:w="915" w:type="dxa"/>
            <w:noWrap w:val="0"/>
            <w:vAlign w:val="center"/>
          </w:tcPr>
          <w:p w14:paraId="77F4E96F">
            <w:pPr>
              <w:jc w:val="center"/>
              <w:rPr>
                <w:rFonts w:hint="eastAsia" w:ascii="宋体" w:hAnsi="宋体" w:cs="宋体"/>
                <w:bCs/>
                <w:sz w:val="24"/>
              </w:rPr>
            </w:pPr>
          </w:p>
        </w:tc>
        <w:tc>
          <w:tcPr>
            <w:tcW w:w="795" w:type="dxa"/>
            <w:noWrap w:val="0"/>
            <w:vAlign w:val="center"/>
          </w:tcPr>
          <w:p w14:paraId="5E365AF4">
            <w:pPr>
              <w:jc w:val="center"/>
              <w:rPr>
                <w:rFonts w:hint="eastAsia" w:ascii="宋体" w:hAnsi="宋体" w:cs="宋体"/>
                <w:bCs/>
                <w:sz w:val="24"/>
              </w:rPr>
            </w:pPr>
          </w:p>
        </w:tc>
      </w:tr>
      <w:tr w14:paraId="100D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690" w:type="dxa"/>
            <w:noWrap w:val="0"/>
            <w:vAlign w:val="center"/>
          </w:tcPr>
          <w:p w14:paraId="3AB289DD">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35" w:type="dxa"/>
            <w:noWrap w:val="0"/>
            <w:vAlign w:val="center"/>
          </w:tcPr>
          <w:p w14:paraId="49E47E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9885" w:type="dxa"/>
            <w:gridSpan w:val="4"/>
            <w:noWrap w:val="0"/>
            <w:vAlign w:val="center"/>
          </w:tcPr>
          <w:p w14:paraId="3E77D2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以上设备含36个月免费维保</w:t>
            </w:r>
          </w:p>
        </w:tc>
        <w:tc>
          <w:tcPr>
            <w:tcW w:w="1365" w:type="dxa"/>
            <w:gridSpan w:val="2"/>
            <w:noWrap w:val="0"/>
            <w:vAlign w:val="center"/>
          </w:tcPr>
          <w:p w14:paraId="224097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总合计</w:t>
            </w:r>
          </w:p>
        </w:tc>
        <w:tc>
          <w:tcPr>
            <w:tcW w:w="1710" w:type="dxa"/>
            <w:gridSpan w:val="2"/>
            <w:noWrap w:val="0"/>
            <w:vAlign w:val="center"/>
          </w:tcPr>
          <w:p w14:paraId="7E49613D">
            <w:pPr>
              <w:jc w:val="center"/>
              <w:rPr>
                <w:rFonts w:hint="eastAsia" w:ascii="宋体" w:hAnsi="宋体" w:cs="宋体"/>
                <w:bCs/>
                <w:sz w:val="24"/>
              </w:rPr>
            </w:pPr>
          </w:p>
        </w:tc>
      </w:tr>
    </w:tbl>
    <w:p w14:paraId="367D174B">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i w:val="0"/>
          <w:iCs w:val="0"/>
          <w:caps w:val="0"/>
          <w:color w:val="auto"/>
          <w:spacing w:val="0"/>
          <w:sz w:val="28"/>
          <w:szCs w:val="28"/>
          <w:shd w:val="clear" w:color="auto" w:fill="FFFFFF"/>
          <w:lang w:val="en-US" w:eastAsia="zh-CN"/>
        </w:rPr>
      </w:pPr>
    </w:p>
    <w:p w14:paraId="4E28AFC3">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i w:val="0"/>
          <w:iCs w:val="0"/>
          <w:caps w:val="0"/>
          <w:color w:val="auto"/>
          <w:spacing w:val="0"/>
          <w:sz w:val="28"/>
          <w:szCs w:val="28"/>
          <w:shd w:val="clear" w:color="auto" w:fill="FFFFFF"/>
          <w:lang w:val="en-US" w:eastAsia="zh-CN"/>
        </w:rPr>
      </w:pPr>
    </w:p>
    <w:p w14:paraId="4D8EDA69">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i w:val="0"/>
          <w:iCs w:val="0"/>
          <w:caps w:val="0"/>
          <w:color w:val="auto"/>
          <w:spacing w:val="0"/>
          <w:sz w:val="28"/>
          <w:szCs w:val="28"/>
          <w:shd w:val="clear" w:color="auto" w:fill="FFFFFF"/>
          <w:lang w:val="en-US" w:eastAsia="zh-CN"/>
        </w:rPr>
      </w:pPr>
    </w:p>
    <w:p w14:paraId="42D63FFD">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sz w:val="24"/>
        </w:rPr>
      </w:pPr>
      <w:r>
        <w:rPr>
          <w:rFonts w:hint="eastAsia" w:ascii="宋体" w:hAnsi="宋体" w:cs="宋体"/>
          <w:i w:val="0"/>
          <w:iCs w:val="0"/>
          <w:caps w:val="0"/>
          <w:color w:val="auto"/>
          <w:spacing w:val="0"/>
          <w:sz w:val="28"/>
          <w:szCs w:val="28"/>
          <w:shd w:val="clear" w:color="auto" w:fill="FFFFFF"/>
          <w:lang w:val="en-US" w:eastAsia="zh-CN"/>
        </w:rPr>
        <w:t>（2）2-4号门配置单</w:t>
      </w:r>
    </w:p>
    <w:tbl>
      <w:tblPr>
        <w:tblStyle w:val="8"/>
        <w:tblpPr w:leftFromText="180" w:rightFromText="180" w:vertAnchor="text" w:horzAnchor="page" w:tblpX="1253" w:tblpY="354"/>
        <w:tblOverlap w:val="never"/>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35"/>
        <w:gridCol w:w="795"/>
        <w:gridCol w:w="750"/>
        <w:gridCol w:w="1530"/>
        <w:gridCol w:w="6809"/>
        <w:gridCol w:w="585"/>
        <w:gridCol w:w="780"/>
        <w:gridCol w:w="915"/>
        <w:gridCol w:w="795"/>
      </w:tblGrid>
      <w:tr w14:paraId="4820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0" w:type="dxa"/>
            <w:noWrap w:val="0"/>
            <w:vAlign w:val="center"/>
          </w:tcPr>
          <w:p w14:paraId="00C77CAC">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735" w:type="dxa"/>
            <w:noWrap w:val="0"/>
            <w:vAlign w:val="center"/>
          </w:tcPr>
          <w:p w14:paraId="741D8EB8">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设备名称</w:t>
            </w:r>
          </w:p>
        </w:tc>
        <w:tc>
          <w:tcPr>
            <w:tcW w:w="795" w:type="dxa"/>
            <w:noWrap w:val="0"/>
            <w:vAlign w:val="center"/>
          </w:tcPr>
          <w:p w14:paraId="38CCC33E">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品牌</w:t>
            </w:r>
          </w:p>
        </w:tc>
        <w:tc>
          <w:tcPr>
            <w:tcW w:w="750" w:type="dxa"/>
            <w:noWrap w:val="0"/>
            <w:vAlign w:val="center"/>
          </w:tcPr>
          <w:p w14:paraId="034168A9">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型号</w:t>
            </w:r>
          </w:p>
        </w:tc>
        <w:tc>
          <w:tcPr>
            <w:tcW w:w="1530" w:type="dxa"/>
            <w:noWrap w:val="0"/>
            <w:vAlign w:val="center"/>
          </w:tcPr>
          <w:p w14:paraId="216C21B3">
            <w:pPr>
              <w:keepNext w:val="0"/>
              <w:keepLines w:val="0"/>
              <w:widowControl/>
              <w:suppressLineNumbers w:val="0"/>
              <w:jc w:val="center"/>
              <w:textAlignment w:val="center"/>
              <w:rPr>
                <w:rFonts w:hint="eastAsia"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产品参考图片</w:t>
            </w:r>
          </w:p>
        </w:tc>
        <w:tc>
          <w:tcPr>
            <w:tcW w:w="6810" w:type="dxa"/>
            <w:noWrap w:val="0"/>
            <w:vAlign w:val="center"/>
          </w:tcPr>
          <w:p w14:paraId="52A2D5BB">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描述</w:t>
            </w:r>
          </w:p>
        </w:tc>
        <w:tc>
          <w:tcPr>
            <w:tcW w:w="585" w:type="dxa"/>
            <w:noWrap w:val="0"/>
            <w:vAlign w:val="center"/>
          </w:tcPr>
          <w:p w14:paraId="727F82BB">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780" w:type="dxa"/>
            <w:noWrap w:val="0"/>
            <w:vAlign w:val="center"/>
          </w:tcPr>
          <w:p w14:paraId="3343962A">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915" w:type="dxa"/>
            <w:noWrap w:val="0"/>
            <w:vAlign w:val="center"/>
          </w:tcPr>
          <w:p w14:paraId="65E57FA9">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单价</w:t>
            </w:r>
          </w:p>
        </w:tc>
        <w:tc>
          <w:tcPr>
            <w:tcW w:w="795" w:type="dxa"/>
            <w:noWrap w:val="0"/>
            <w:vAlign w:val="center"/>
          </w:tcPr>
          <w:p w14:paraId="4EAE8C1E">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微软雅黑" w:hAnsi="微软雅黑" w:eastAsia="微软雅黑" w:cs="微软雅黑"/>
                <w:b/>
                <w:bCs/>
                <w:i w:val="0"/>
                <w:iCs w:val="0"/>
                <w:color w:val="000000"/>
                <w:kern w:val="0"/>
                <w:sz w:val="21"/>
                <w:szCs w:val="21"/>
                <w:u w:val="none"/>
                <w:lang w:val="en-US" w:eastAsia="zh-CN" w:bidi="ar"/>
              </w:rPr>
              <w:t>总价</w:t>
            </w:r>
          </w:p>
        </w:tc>
      </w:tr>
      <w:tr w14:paraId="482C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90" w:type="dxa"/>
            <w:shd w:val="clear" w:color="auto" w:fill="auto"/>
            <w:noWrap w:val="0"/>
            <w:vAlign w:val="center"/>
          </w:tcPr>
          <w:p w14:paraId="07FB5464">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35" w:type="dxa"/>
            <w:shd w:val="clear" w:color="auto" w:fill="auto"/>
            <w:noWrap w:val="0"/>
            <w:vAlign w:val="center"/>
          </w:tcPr>
          <w:p w14:paraId="12A33375">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道闸</w:t>
            </w:r>
          </w:p>
        </w:tc>
        <w:tc>
          <w:tcPr>
            <w:tcW w:w="795" w:type="dxa"/>
            <w:noWrap w:val="0"/>
            <w:vAlign w:val="center"/>
          </w:tcPr>
          <w:p w14:paraId="6311EA22">
            <w:pPr>
              <w:jc w:val="center"/>
              <w:rPr>
                <w:rFonts w:hint="eastAsia" w:ascii="宋体" w:hAnsi="宋体" w:cs="宋体"/>
                <w:sz w:val="24"/>
              </w:rPr>
            </w:pPr>
          </w:p>
        </w:tc>
        <w:tc>
          <w:tcPr>
            <w:tcW w:w="750" w:type="dxa"/>
            <w:noWrap w:val="0"/>
            <w:vAlign w:val="center"/>
          </w:tcPr>
          <w:p w14:paraId="4E719881">
            <w:pPr>
              <w:jc w:val="center"/>
              <w:rPr>
                <w:rFonts w:hint="eastAsia" w:ascii="宋体" w:hAnsi="宋体" w:cs="宋体" w:eastAsiaTheme="minorEastAsia"/>
                <w:sz w:val="24"/>
                <w:lang w:val="en-US" w:eastAsia="zh-CN"/>
              </w:rPr>
            </w:pPr>
          </w:p>
        </w:tc>
        <w:tc>
          <w:tcPr>
            <w:tcW w:w="1530" w:type="dxa"/>
            <w:noWrap w:val="0"/>
            <w:vAlign w:val="center"/>
          </w:tcPr>
          <w:p w14:paraId="0405800A">
            <w:pPr>
              <w:keepNext w:val="0"/>
              <w:keepLines w:val="0"/>
              <w:widowControl/>
              <w:suppressLineNumbers w:val="0"/>
              <w:jc w:val="center"/>
              <w:textAlignment w:val="center"/>
              <w:rPr>
                <w:rFonts w:hint="eastAsia" w:ascii="宋体" w:hAnsi="宋体" w:cs="宋体" w:eastAsiaTheme="minorEastAsia"/>
                <w:sz w:val="24"/>
                <w:lang w:eastAsia="zh-CN"/>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63500</wp:posOffset>
                  </wp:positionH>
                  <wp:positionV relativeFrom="paragraph">
                    <wp:posOffset>-284480</wp:posOffset>
                  </wp:positionV>
                  <wp:extent cx="791210" cy="734695"/>
                  <wp:effectExtent l="0" t="0" r="8890" b="8255"/>
                  <wp:wrapNone/>
                  <wp:docPr id="60" name="图片_1"/>
                  <wp:cNvGraphicFramePr/>
                  <a:graphic xmlns:a="http://schemas.openxmlformats.org/drawingml/2006/main">
                    <a:graphicData uri="http://schemas.openxmlformats.org/drawingml/2006/picture">
                      <pic:pic xmlns:pic="http://schemas.openxmlformats.org/drawingml/2006/picture">
                        <pic:nvPicPr>
                          <pic:cNvPr id="60" name="图片_1"/>
                          <pic:cNvPicPr/>
                        </pic:nvPicPr>
                        <pic:blipFill>
                          <a:blip r:embed="rId12"/>
                          <a:stretch>
                            <a:fillRect/>
                          </a:stretch>
                        </pic:blipFill>
                        <pic:spPr>
                          <a:xfrm>
                            <a:off x="0" y="0"/>
                            <a:ext cx="791210" cy="734695"/>
                          </a:xfrm>
                          <a:prstGeom prst="rect">
                            <a:avLst/>
                          </a:prstGeom>
                          <a:noFill/>
                          <a:ln>
                            <a:noFill/>
                          </a:ln>
                        </pic:spPr>
                      </pic:pic>
                    </a:graphicData>
                  </a:graphic>
                </wp:anchor>
              </w:drawing>
            </w:r>
          </w:p>
        </w:tc>
        <w:tc>
          <w:tcPr>
            <w:tcW w:w="6810" w:type="dxa"/>
            <w:noWrap w:val="0"/>
            <w:vAlign w:val="center"/>
          </w:tcPr>
          <w:p w14:paraId="7C1D584F">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 电机上装有手轮装置，停电时，实现手动开启；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遥控器：可分别控制道闸1、道闸2（开启、关闭、停止）；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具备多种接口，可接入红外线、地感、雷达（出口闸机需要自动感应开启功能）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因室外使用，必须具有良好的耐用性。</w:t>
            </w:r>
          </w:p>
        </w:tc>
        <w:tc>
          <w:tcPr>
            <w:tcW w:w="585" w:type="dxa"/>
            <w:noWrap w:val="0"/>
            <w:vAlign w:val="center"/>
          </w:tcPr>
          <w:p w14:paraId="3307DEA5">
            <w:pPr>
              <w:keepNext w:val="0"/>
              <w:keepLines w:val="0"/>
              <w:widowControl/>
              <w:suppressLineNumbers w:val="0"/>
              <w:jc w:val="center"/>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061B9EFA">
            <w:pPr>
              <w:keepNext w:val="0"/>
              <w:keepLines w:val="0"/>
              <w:widowControl/>
              <w:suppressLineNumbers w:val="0"/>
              <w:jc w:val="center"/>
              <w:textAlignment w:val="center"/>
              <w:rPr>
                <w:rFonts w:hint="default" w:ascii="宋体" w:hAnsi="宋体" w:cs="宋体" w:eastAsiaTheme="minorEastAsia"/>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915" w:type="dxa"/>
            <w:noWrap w:val="0"/>
            <w:vAlign w:val="center"/>
          </w:tcPr>
          <w:p w14:paraId="0BFD70E7">
            <w:pPr>
              <w:jc w:val="center"/>
              <w:rPr>
                <w:rFonts w:hint="default" w:ascii="宋体" w:hAnsi="宋体" w:cs="宋体" w:eastAsiaTheme="minorEastAsia"/>
                <w:sz w:val="24"/>
                <w:lang w:val="en-US" w:eastAsia="zh-CN"/>
              </w:rPr>
            </w:pPr>
          </w:p>
        </w:tc>
        <w:tc>
          <w:tcPr>
            <w:tcW w:w="795" w:type="dxa"/>
            <w:noWrap w:val="0"/>
            <w:vAlign w:val="center"/>
          </w:tcPr>
          <w:p w14:paraId="0DA084E1">
            <w:pPr>
              <w:jc w:val="center"/>
              <w:rPr>
                <w:rFonts w:hint="default" w:ascii="宋体" w:hAnsi="宋体" w:cs="宋体" w:eastAsiaTheme="minorEastAsia"/>
                <w:sz w:val="24"/>
                <w:lang w:val="en-US" w:eastAsia="zh-CN"/>
              </w:rPr>
            </w:pPr>
          </w:p>
        </w:tc>
      </w:tr>
      <w:tr w14:paraId="7EFB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690" w:type="dxa"/>
            <w:shd w:val="clear" w:color="auto" w:fill="auto"/>
            <w:noWrap w:val="0"/>
            <w:vAlign w:val="center"/>
          </w:tcPr>
          <w:p w14:paraId="265CF919">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5" w:type="dxa"/>
            <w:shd w:val="clear" w:color="auto" w:fill="auto"/>
            <w:noWrap w:val="0"/>
            <w:vAlign w:val="center"/>
          </w:tcPr>
          <w:p w14:paraId="6A55FCD9">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防砸雷达</w:t>
            </w:r>
          </w:p>
        </w:tc>
        <w:tc>
          <w:tcPr>
            <w:tcW w:w="795" w:type="dxa"/>
            <w:noWrap w:val="0"/>
            <w:vAlign w:val="center"/>
          </w:tcPr>
          <w:p w14:paraId="3A47776D">
            <w:pPr>
              <w:jc w:val="center"/>
              <w:rPr>
                <w:rFonts w:hint="eastAsia" w:ascii="宋体" w:hAnsi="宋体" w:cs="宋体"/>
                <w:bCs/>
                <w:sz w:val="24"/>
              </w:rPr>
            </w:pPr>
          </w:p>
        </w:tc>
        <w:tc>
          <w:tcPr>
            <w:tcW w:w="750" w:type="dxa"/>
            <w:noWrap w:val="0"/>
            <w:vAlign w:val="center"/>
          </w:tcPr>
          <w:p w14:paraId="501C6B4D">
            <w:pPr>
              <w:jc w:val="center"/>
              <w:rPr>
                <w:rFonts w:hint="eastAsia" w:ascii="宋体" w:hAnsi="宋体" w:cs="宋体"/>
                <w:bCs/>
                <w:sz w:val="24"/>
              </w:rPr>
            </w:pPr>
          </w:p>
        </w:tc>
        <w:tc>
          <w:tcPr>
            <w:tcW w:w="1530" w:type="dxa"/>
            <w:noWrap w:val="0"/>
            <w:vAlign w:val="center"/>
          </w:tcPr>
          <w:p w14:paraId="26B724F0">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178435</wp:posOffset>
                  </wp:positionH>
                  <wp:positionV relativeFrom="paragraph">
                    <wp:posOffset>572135</wp:posOffset>
                  </wp:positionV>
                  <wp:extent cx="654050" cy="974725"/>
                  <wp:effectExtent l="0" t="0" r="12700" b="15875"/>
                  <wp:wrapNone/>
                  <wp:docPr id="61" name="ID_F5AF7F75ACD94797AFC02875EB917584"/>
                  <wp:cNvGraphicFramePr/>
                  <a:graphic xmlns:a="http://schemas.openxmlformats.org/drawingml/2006/main">
                    <a:graphicData uri="http://schemas.openxmlformats.org/drawingml/2006/picture">
                      <pic:pic xmlns:pic="http://schemas.openxmlformats.org/drawingml/2006/picture">
                        <pic:nvPicPr>
                          <pic:cNvPr id="61" name="ID_F5AF7F75ACD94797AFC02875EB917584"/>
                          <pic:cNvPicPr/>
                        </pic:nvPicPr>
                        <pic:blipFill>
                          <a:blip r:embed="rId7"/>
                          <a:stretch>
                            <a:fillRect/>
                          </a:stretch>
                        </pic:blipFill>
                        <pic:spPr>
                          <a:xfrm>
                            <a:off x="0" y="0"/>
                            <a:ext cx="654050" cy="9747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0" cy="1878965"/>
                  <wp:effectExtent l="0" t="0" r="0" b="0"/>
                  <wp:wrapNone/>
                  <wp:docPr id="62" name="Picture_26"/>
                  <wp:cNvGraphicFramePr/>
                  <a:graphic xmlns:a="http://schemas.openxmlformats.org/drawingml/2006/main">
                    <a:graphicData uri="http://schemas.openxmlformats.org/drawingml/2006/picture">
                      <pic:pic xmlns:pic="http://schemas.openxmlformats.org/drawingml/2006/picture">
                        <pic:nvPicPr>
                          <pic:cNvPr id="62" name="Picture_26"/>
                          <pic:cNvPicPr/>
                        </pic:nvPicPr>
                        <pic:blipFill>
                          <a:blip r:embed="rId13"/>
                          <a:stretch>
                            <a:fillRect/>
                          </a:stretch>
                        </pic:blipFill>
                        <pic:spPr>
                          <a:xfrm>
                            <a:off x="0" y="0"/>
                            <a:ext cx="0" cy="18789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0" cy="1878965"/>
                  <wp:effectExtent l="0" t="0" r="0" b="0"/>
                  <wp:wrapNone/>
                  <wp:docPr id="63" name="Picture_26_SpCnt_1"/>
                  <wp:cNvGraphicFramePr/>
                  <a:graphic xmlns:a="http://schemas.openxmlformats.org/drawingml/2006/main">
                    <a:graphicData uri="http://schemas.openxmlformats.org/drawingml/2006/picture">
                      <pic:pic xmlns:pic="http://schemas.openxmlformats.org/drawingml/2006/picture">
                        <pic:nvPicPr>
                          <pic:cNvPr id="63" name="Picture_26_SpCnt_1"/>
                          <pic:cNvPicPr/>
                        </pic:nvPicPr>
                        <pic:blipFill>
                          <a:blip r:embed="rId14"/>
                          <a:stretch>
                            <a:fillRect/>
                          </a:stretch>
                        </pic:blipFill>
                        <pic:spPr>
                          <a:xfrm>
                            <a:off x="0" y="0"/>
                            <a:ext cx="0" cy="1878965"/>
                          </a:xfrm>
                          <a:prstGeom prst="rect">
                            <a:avLst/>
                          </a:prstGeom>
                          <a:noFill/>
                          <a:ln>
                            <a:noFill/>
                          </a:ln>
                        </pic:spPr>
                      </pic:pic>
                    </a:graphicData>
                  </a:graphic>
                </wp:anchor>
              </w:drawing>
            </w:r>
          </w:p>
        </w:tc>
        <w:tc>
          <w:tcPr>
            <w:tcW w:w="6810" w:type="dxa"/>
            <w:noWrap w:val="0"/>
            <w:vAlign w:val="center"/>
          </w:tcPr>
          <w:p w14:paraId="58190FDC">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采用79GHz MMIC技术，分辨率更高，检测更稳定；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雷达检测距离可调，检测宽度可调，操作方便，通用性强；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无需学习背景，适应更多复杂现场环境；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提供RS485串口或蓝牙通讯功能，手机APP，可对雷达进行在线调试、固件升级，操作更方便；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安装与维护方便，所需人力少，工时短。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采用先进的信号处理技术，可稳定检测到行人和车辆，有效防止“砸车、砸人”事故的发生。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采用LED灯指示雷达工作状态，状态更直观。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自动记录雷达的配置参数，断电重启后可恢复至之前的工作状态；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环境适应性强，检测性能不受电磁干扰、光照、灰尘、雨雪等外界环境影响。</w:t>
            </w:r>
          </w:p>
        </w:tc>
        <w:tc>
          <w:tcPr>
            <w:tcW w:w="585" w:type="dxa"/>
            <w:noWrap w:val="0"/>
            <w:vAlign w:val="center"/>
          </w:tcPr>
          <w:p w14:paraId="7C7456FD">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37A0657B">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6</w:t>
            </w:r>
          </w:p>
        </w:tc>
        <w:tc>
          <w:tcPr>
            <w:tcW w:w="915" w:type="dxa"/>
            <w:noWrap w:val="0"/>
            <w:vAlign w:val="center"/>
          </w:tcPr>
          <w:p w14:paraId="3D8EEFA6">
            <w:pPr>
              <w:jc w:val="center"/>
              <w:rPr>
                <w:rFonts w:hint="eastAsia" w:ascii="宋体" w:hAnsi="宋体" w:cs="宋体"/>
                <w:bCs/>
                <w:sz w:val="24"/>
              </w:rPr>
            </w:pPr>
          </w:p>
        </w:tc>
        <w:tc>
          <w:tcPr>
            <w:tcW w:w="795" w:type="dxa"/>
            <w:noWrap w:val="0"/>
            <w:vAlign w:val="center"/>
          </w:tcPr>
          <w:p w14:paraId="46FF5691">
            <w:pPr>
              <w:jc w:val="center"/>
              <w:rPr>
                <w:rFonts w:hint="eastAsia" w:ascii="宋体" w:hAnsi="宋体" w:cs="宋体"/>
                <w:bCs/>
                <w:sz w:val="24"/>
              </w:rPr>
            </w:pPr>
          </w:p>
        </w:tc>
      </w:tr>
      <w:tr w14:paraId="740A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2" w:hRule="atLeast"/>
        </w:trPr>
        <w:tc>
          <w:tcPr>
            <w:tcW w:w="690" w:type="dxa"/>
            <w:shd w:val="clear" w:color="auto" w:fill="auto"/>
            <w:noWrap w:val="0"/>
            <w:vAlign w:val="center"/>
          </w:tcPr>
          <w:p w14:paraId="002F508C">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735" w:type="dxa"/>
            <w:shd w:val="clear" w:color="auto" w:fill="auto"/>
            <w:noWrap w:val="0"/>
            <w:vAlign w:val="center"/>
          </w:tcPr>
          <w:p w14:paraId="17D51592">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行人安检亭</w:t>
            </w:r>
          </w:p>
        </w:tc>
        <w:tc>
          <w:tcPr>
            <w:tcW w:w="795" w:type="dxa"/>
            <w:noWrap w:val="0"/>
            <w:vAlign w:val="center"/>
          </w:tcPr>
          <w:p w14:paraId="4796E67A">
            <w:pPr>
              <w:jc w:val="center"/>
              <w:rPr>
                <w:rFonts w:hint="eastAsia" w:ascii="宋体" w:hAnsi="宋体" w:cs="宋体"/>
                <w:bCs/>
                <w:sz w:val="24"/>
              </w:rPr>
            </w:pPr>
          </w:p>
        </w:tc>
        <w:tc>
          <w:tcPr>
            <w:tcW w:w="750" w:type="dxa"/>
            <w:noWrap w:val="0"/>
            <w:vAlign w:val="center"/>
          </w:tcPr>
          <w:p w14:paraId="24CFCD0E">
            <w:pPr>
              <w:jc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407035</wp:posOffset>
                  </wp:positionH>
                  <wp:positionV relativeFrom="paragraph">
                    <wp:posOffset>36830</wp:posOffset>
                  </wp:positionV>
                  <wp:extent cx="999490" cy="521970"/>
                  <wp:effectExtent l="0" t="0" r="10160" b="11430"/>
                  <wp:wrapNone/>
                  <wp:docPr id="64" name="图片_2"/>
                  <wp:cNvGraphicFramePr/>
                  <a:graphic xmlns:a="http://schemas.openxmlformats.org/drawingml/2006/main">
                    <a:graphicData uri="http://schemas.openxmlformats.org/drawingml/2006/picture">
                      <pic:pic xmlns:pic="http://schemas.openxmlformats.org/drawingml/2006/picture">
                        <pic:nvPicPr>
                          <pic:cNvPr id="64" name="图片_2"/>
                          <pic:cNvPicPr/>
                        </pic:nvPicPr>
                        <pic:blipFill>
                          <a:blip r:embed="rId11"/>
                          <a:stretch>
                            <a:fillRect/>
                          </a:stretch>
                        </pic:blipFill>
                        <pic:spPr>
                          <a:xfrm>
                            <a:off x="0" y="0"/>
                            <a:ext cx="999490" cy="521970"/>
                          </a:xfrm>
                          <a:prstGeom prst="rect">
                            <a:avLst/>
                          </a:prstGeom>
                          <a:noFill/>
                          <a:ln>
                            <a:noFill/>
                          </a:ln>
                        </pic:spPr>
                      </pic:pic>
                    </a:graphicData>
                  </a:graphic>
                </wp:anchor>
              </w:drawing>
            </w:r>
          </w:p>
        </w:tc>
        <w:tc>
          <w:tcPr>
            <w:tcW w:w="1530" w:type="dxa"/>
            <w:noWrap w:val="0"/>
            <w:vAlign w:val="center"/>
          </w:tcPr>
          <w:p w14:paraId="307D1507">
            <w:pPr>
              <w:keepNext w:val="0"/>
              <w:keepLines w:val="0"/>
              <w:widowControl/>
              <w:suppressLineNumbers w:val="0"/>
              <w:jc w:val="center"/>
              <w:textAlignment w:val="center"/>
              <w:rPr>
                <w:rFonts w:hint="eastAsia" w:ascii="宋体" w:hAnsi="宋体" w:cs="宋体"/>
                <w:bCs/>
                <w:sz w:val="24"/>
              </w:rPr>
            </w:pPr>
          </w:p>
        </w:tc>
        <w:tc>
          <w:tcPr>
            <w:tcW w:w="6810" w:type="dxa"/>
            <w:noWrap w:val="0"/>
            <w:vAlign w:val="center"/>
          </w:tcPr>
          <w:p w14:paraId="2D51E3E1">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 安检机移装至本亭内,安检机需占地9平米；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非机动车道有延伸挑檐，为非机动车道闸机提供避雨；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安检亭主体结构为钢结构，外墙面为金属复合板，材质具备耐候性、防腐蚀的特点；一侧墙面镶嵌钢化玻璃，搭配黑色金属收边条；通道两头采用铝合金加玻璃，上部开窗通风；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安检亭外观和医院原有岗位亭保持一致。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进出口两端留1.5*2.2门洞，无需装门。</w:t>
            </w:r>
          </w:p>
        </w:tc>
        <w:tc>
          <w:tcPr>
            <w:tcW w:w="585" w:type="dxa"/>
            <w:noWrap w:val="0"/>
            <w:vAlign w:val="center"/>
          </w:tcPr>
          <w:p w14:paraId="4C81C127">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平米</w:t>
            </w:r>
          </w:p>
        </w:tc>
        <w:tc>
          <w:tcPr>
            <w:tcW w:w="780" w:type="dxa"/>
            <w:noWrap w:val="0"/>
            <w:vAlign w:val="center"/>
          </w:tcPr>
          <w:p w14:paraId="03071933">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12.25*3</w:t>
            </w:r>
          </w:p>
        </w:tc>
        <w:tc>
          <w:tcPr>
            <w:tcW w:w="915" w:type="dxa"/>
            <w:noWrap w:val="0"/>
            <w:vAlign w:val="center"/>
          </w:tcPr>
          <w:p w14:paraId="281C310E">
            <w:pPr>
              <w:jc w:val="center"/>
              <w:rPr>
                <w:rFonts w:hint="eastAsia" w:ascii="宋体" w:hAnsi="宋体" w:cs="宋体"/>
                <w:bCs/>
                <w:sz w:val="24"/>
              </w:rPr>
            </w:pPr>
          </w:p>
        </w:tc>
        <w:tc>
          <w:tcPr>
            <w:tcW w:w="795" w:type="dxa"/>
            <w:noWrap w:val="0"/>
            <w:vAlign w:val="center"/>
          </w:tcPr>
          <w:p w14:paraId="26039043">
            <w:pPr>
              <w:jc w:val="center"/>
              <w:rPr>
                <w:rFonts w:hint="eastAsia" w:ascii="宋体" w:hAnsi="宋体" w:cs="宋体"/>
                <w:bCs/>
                <w:sz w:val="24"/>
              </w:rPr>
            </w:pPr>
          </w:p>
        </w:tc>
      </w:tr>
      <w:tr w14:paraId="2EE3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690" w:type="dxa"/>
            <w:shd w:val="clear" w:color="auto" w:fill="auto"/>
            <w:noWrap w:val="0"/>
            <w:vAlign w:val="center"/>
          </w:tcPr>
          <w:p w14:paraId="682A50C0">
            <w:pPr>
              <w:jc w:val="center"/>
              <w:rPr>
                <w:rFonts w:hint="eastAsia" w:ascii="宋体" w:hAnsi="宋体" w:eastAsia="宋体" w:cs="宋体"/>
                <w:i w:val="0"/>
                <w:iCs w:val="0"/>
                <w:color w:val="000000"/>
                <w:kern w:val="2"/>
                <w:sz w:val="26"/>
                <w:szCs w:val="26"/>
                <w:u w:val="none"/>
                <w:lang w:val="en-US" w:eastAsia="zh-CN" w:bidi="ar-SA"/>
              </w:rPr>
            </w:pPr>
          </w:p>
        </w:tc>
        <w:tc>
          <w:tcPr>
            <w:tcW w:w="735" w:type="dxa"/>
            <w:shd w:val="clear" w:color="auto" w:fill="auto"/>
            <w:noWrap w:val="0"/>
            <w:vAlign w:val="center"/>
          </w:tcPr>
          <w:p w14:paraId="3C0601D2">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安检机移装</w:t>
            </w:r>
          </w:p>
        </w:tc>
        <w:tc>
          <w:tcPr>
            <w:tcW w:w="795" w:type="dxa"/>
            <w:noWrap w:val="0"/>
            <w:vAlign w:val="center"/>
          </w:tcPr>
          <w:p w14:paraId="742B8C68">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w:t>
            </w:r>
          </w:p>
        </w:tc>
        <w:tc>
          <w:tcPr>
            <w:tcW w:w="750" w:type="dxa"/>
            <w:noWrap w:val="0"/>
            <w:vAlign w:val="center"/>
          </w:tcPr>
          <w:p w14:paraId="7DCE0B71">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4"/>
                <w:szCs w:val="24"/>
                <w:u w:val="none"/>
                <w:lang w:val="en-US" w:eastAsia="zh-CN" w:bidi="ar"/>
              </w:rPr>
              <w:t>安检机移装</w:t>
            </w:r>
          </w:p>
        </w:tc>
        <w:tc>
          <w:tcPr>
            <w:tcW w:w="1530" w:type="dxa"/>
            <w:noWrap w:val="0"/>
            <w:vAlign w:val="center"/>
          </w:tcPr>
          <w:p w14:paraId="392FECDD">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安检机移装</w:t>
            </w:r>
          </w:p>
        </w:tc>
        <w:tc>
          <w:tcPr>
            <w:tcW w:w="6810" w:type="dxa"/>
            <w:noWrap w:val="0"/>
            <w:vAlign w:val="center"/>
          </w:tcPr>
          <w:p w14:paraId="0B9FE0A0">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安检机移装,含设备电源铺设等其余费用。</w:t>
            </w:r>
          </w:p>
        </w:tc>
        <w:tc>
          <w:tcPr>
            <w:tcW w:w="585" w:type="dxa"/>
            <w:noWrap w:val="0"/>
            <w:vAlign w:val="center"/>
          </w:tcPr>
          <w:p w14:paraId="2D7DFB1D">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58365193">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1*3</w:t>
            </w:r>
          </w:p>
        </w:tc>
        <w:tc>
          <w:tcPr>
            <w:tcW w:w="915" w:type="dxa"/>
            <w:noWrap w:val="0"/>
            <w:vAlign w:val="center"/>
          </w:tcPr>
          <w:p w14:paraId="2F70375C">
            <w:pPr>
              <w:jc w:val="center"/>
              <w:rPr>
                <w:rFonts w:hint="eastAsia" w:ascii="宋体" w:hAnsi="宋体" w:cs="宋体"/>
                <w:bCs/>
                <w:sz w:val="24"/>
              </w:rPr>
            </w:pPr>
          </w:p>
        </w:tc>
        <w:tc>
          <w:tcPr>
            <w:tcW w:w="795" w:type="dxa"/>
            <w:noWrap w:val="0"/>
            <w:vAlign w:val="center"/>
          </w:tcPr>
          <w:p w14:paraId="411F6C62">
            <w:pPr>
              <w:jc w:val="center"/>
              <w:rPr>
                <w:rFonts w:hint="eastAsia" w:ascii="宋体" w:hAnsi="宋体" w:cs="宋体"/>
                <w:bCs/>
                <w:sz w:val="24"/>
              </w:rPr>
            </w:pPr>
          </w:p>
        </w:tc>
      </w:tr>
      <w:tr w14:paraId="15AE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690" w:type="dxa"/>
            <w:noWrap w:val="0"/>
            <w:vAlign w:val="center"/>
          </w:tcPr>
          <w:p w14:paraId="463CF3AF">
            <w:pPr>
              <w:jc w:val="center"/>
              <w:rPr>
                <w:rFonts w:hint="default" w:ascii="宋体" w:hAnsi="宋体" w:cs="宋体" w:eastAsiaTheme="minorEastAsia"/>
                <w:kern w:val="0"/>
                <w:sz w:val="24"/>
                <w:lang w:val="en-US" w:eastAsia="zh-CN"/>
              </w:rPr>
            </w:pPr>
          </w:p>
        </w:tc>
        <w:tc>
          <w:tcPr>
            <w:tcW w:w="735" w:type="dxa"/>
            <w:noWrap w:val="0"/>
            <w:vAlign w:val="center"/>
          </w:tcPr>
          <w:p w14:paraId="347C6BB3">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其余费用</w:t>
            </w:r>
          </w:p>
        </w:tc>
        <w:tc>
          <w:tcPr>
            <w:tcW w:w="795" w:type="dxa"/>
            <w:noWrap w:val="0"/>
            <w:vAlign w:val="center"/>
          </w:tcPr>
          <w:p w14:paraId="41439030">
            <w:pPr>
              <w:jc w:val="center"/>
              <w:rPr>
                <w:rFonts w:hint="eastAsia" w:ascii="宋体" w:hAnsi="宋体" w:cs="宋体"/>
                <w:bCs/>
                <w:sz w:val="24"/>
              </w:rPr>
            </w:pPr>
          </w:p>
        </w:tc>
        <w:tc>
          <w:tcPr>
            <w:tcW w:w="750" w:type="dxa"/>
            <w:noWrap w:val="0"/>
            <w:vAlign w:val="center"/>
          </w:tcPr>
          <w:p w14:paraId="013685D8">
            <w:pPr>
              <w:jc w:val="center"/>
              <w:rPr>
                <w:rFonts w:hint="eastAsia" w:ascii="宋体" w:hAnsi="宋体" w:cs="宋体"/>
                <w:bCs/>
                <w:sz w:val="24"/>
              </w:rPr>
            </w:pPr>
          </w:p>
        </w:tc>
        <w:tc>
          <w:tcPr>
            <w:tcW w:w="1530" w:type="dxa"/>
            <w:noWrap w:val="0"/>
            <w:vAlign w:val="center"/>
          </w:tcPr>
          <w:p w14:paraId="647F0BB4">
            <w:pPr>
              <w:jc w:val="center"/>
              <w:rPr>
                <w:rFonts w:hint="eastAsia" w:ascii="宋体" w:hAnsi="宋体" w:cs="宋体"/>
                <w:bCs/>
                <w:sz w:val="24"/>
              </w:rPr>
            </w:pPr>
          </w:p>
        </w:tc>
        <w:tc>
          <w:tcPr>
            <w:tcW w:w="6810" w:type="dxa"/>
            <w:noWrap w:val="0"/>
            <w:vAlign w:val="center"/>
          </w:tcPr>
          <w:p w14:paraId="121C32F6">
            <w:pPr>
              <w:keepNext w:val="0"/>
              <w:keepLines w:val="0"/>
              <w:widowControl/>
              <w:suppressLineNumbers w:val="0"/>
              <w:jc w:val="center"/>
              <w:textAlignment w:val="center"/>
              <w:rPr>
                <w:rFonts w:hint="eastAsia" w:ascii="宋体" w:hAnsi="宋体" w:cs="宋体"/>
                <w:bCs/>
                <w:sz w:val="21"/>
                <w:szCs w:val="21"/>
              </w:rPr>
            </w:pPr>
            <w:r>
              <w:rPr>
                <w:rFonts w:hint="eastAsia" w:ascii="宋体" w:hAnsi="宋体" w:eastAsia="宋体" w:cs="宋体"/>
                <w:i w:val="0"/>
                <w:iCs w:val="0"/>
                <w:color w:val="000000"/>
                <w:kern w:val="0"/>
                <w:sz w:val="21"/>
                <w:szCs w:val="21"/>
                <w:u w:val="none"/>
                <w:lang w:val="en-US" w:eastAsia="zh-CN" w:bidi="ar"/>
              </w:rPr>
              <w:t>含所有设备安装及配套实施（如：道闸机服务器、交换机、设备电源、网线等）</w:t>
            </w:r>
          </w:p>
        </w:tc>
        <w:tc>
          <w:tcPr>
            <w:tcW w:w="585" w:type="dxa"/>
            <w:noWrap w:val="0"/>
            <w:vAlign w:val="center"/>
          </w:tcPr>
          <w:p w14:paraId="4A37A950">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80" w:type="dxa"/>
            <w:noWrap w:val="0"/>
            <w:vAlign w:val="center"/>
          </w:tcPr>
          <w:p w14:paraId="4318F89A">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1*3</w:t>
            </w:r>
          </w:p>
        </w:tc>
        <w:tc>
          <w:tcPr>
            <w:tcW w:w="915" w:type="dxa"/>
            <w:noWrap w:val="0"/>
            <w:vAlign w:val="center"/>
          </w:tcPr>
          <w:p w14:paraId="63228231">
            <w:pPr>
              <w:jc w:val="center"/>
              <w:rPr>
                <w:rFonts w:hint="eastAsia" w:ascii="宋体" w:hAnsi="宋体" w:cs="宋体"/>
                <w:bCs/>
                <w:sz w:val="24"/>
              </w:rPr>
            </w:pPr>
          </w:p>
        </w:tc>
        <w:tc>
          <w:tcPr>
            <w:tcW w:w="795" w:type="dxa"/>
            <w:noWrap w:val="0"/>
            <w:vAlign w:val="center"/>
          </w:tcPr>
          <w:p w14:paraId="4C1FE844">
            <w:pPr>
              <w:jc w:val="center"/>
              <w:rPr>
                <w:rFonts w:hint="eastAsia" w:ascii="宋体" w:hAnsi="宋体" w:cs="宋体"/>
                <w:bCs/>
                <w:sz w:val="24"/>
              </w:rPr>
            </w:pPr>
          </w:p>
        </w:tc>
      </w:tr>
      <w:tr w14:paraId="35E9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90" w:type="dxa"/>
            <w:noWrap w:val="0"/>
            <w:vAlign w:val="center"/>
          </w:tcPr>
          <w:p w14:paraId="71BB4778">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35" w:type="dxa"/>
            <w:noWrap w:val="0"/>
            <w:vAlign w:val="center"/>
          </w:tcPr>
          <w:p w14:paraId="59333BBB">
            <w:pPr>
              <w:keepNext w:val="0"/>
              <w:keepLines w:val="0"/>
              <w:widowControl/>
              <w:suppressLineNumbers w:val="0"/>
              <w:jc w:val="center"/>
              <w:textAlignment w:val="center"/>
              <w:rPr>
                <w:rFonts w:hint="eastAsia" w:ascii="宋体" w:hAnsi="宋体" w:cs="宋体"/>
                <w:b w:val="0"/>
                <w:bCs w:val="0"/>
                <w:kern w:val="0"/>
                <w:sz w:val="24"/>
                <w:lang w:val="en-US" w:eastAsia="zh-CN"/>
              </w:rPr>
            </w:pPr>
            <w:r>
              <w:rPr>
                <w:rFonts w:hint="eastAsia" w:ascii="宋体" w:hAnsi="宋体" w:eastAsia="宋体" w:cs="宋体"/>
                <w:b/>
                <w:bCs/>
                <w:i w:val="0"/>
                <w:iCs w:val="0"/>
                <w:color w:val="000000"/>
                <w:kern w:val="0"/>
                <w:sz w:val="28"/>
                <w:szCs w:val="28"/>
                <w:u w:val="none"/>
                <w:lang w:val="en-US" w:eastAsia="zh-CN" w:bidi="ar"/>
              </w:rPr>
              <w:t>合计</w:t>
            </w:r>
          </w:p>
        </w:tc>
        <w:tc>
          <w:tcPr>
            <w:tcW w:w="11250" w:type="dxa"/>
            <w:gridSpan w:val="6"/>
            <w:noWrap w:val="0"/>
            <w:vAlign w:val="center"/>
          </w:tcPr>
          <w:p w14:paraId="57662012">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以上设备含36个月免费维保</w:t>
            </w:r>
          </w:p>
        </w:tc>
        <w:tc>
          <w:tcPr>
            <w:tcW w:w="915" w:type="dxa"/>
            <w:noWrap w:val="0"/>
            <w:vAlign w:val="center"/>
          </w:tcPr>
          <w:p w14:paraId="03AD94F9">
            <w:pPr>
              <w:keepNext w:val="0"/>
              <w:keepLines w:val="0"/>
              <w:widowControl/>
              <w:suppressLineNumbers w:val="0"/>
              <w:jc w:val="center"/>
              <w:textAlignment w:val="center"/>
              <w:rPr>
                <w:rFonts w:hint="eastAsia" w:ascii="宋体" w:hAnsi="宋体" w:cs="宋体"/>
                <w:bCs/>
                <w:sz w:val="24"/>
              </w:rPr>
            </w:pPr>
            <w:r>
              <w:rPr>
                <w:rFonts w:hint="eastAsia" w:ascii="微软雅黑" w:hAnsi="微软雅黑" w:eastAsia="微软雅黑" w:cs="微软雅黑"/>
                <w:i w:val="0"/>
                <w:iCs w:val="0"/>
                <w:color w:val="000000"/>
                <w:kern w:val="0"/>
                <w:sz w:val="24"/>
                <w:szCs w:val="24"/>
                <w:u w:val="none"/>
                <w:lang w:val="en-US" w:eastAsia="zh-CN" w:bidi="ar"/>
              </w:rPr>
              <w:t>总合计</w:t>
            </w:r>
          </w:p>
        </w:tc>
        <w:tc>
          <w:tcPr>
            <w:tcW w:w="795" w:type="dxa"/>
            <w:noWrap w:val="0"/>
            <w:vAlign w:val="center"/>
          </w:tcPr>
          <w:p w14:paraId="47CCB2D0">
            <w:pPr>
              <w:jc w:val="center"/>
              <w:rPr>
                <w:rFonts w:hint="eastAsia" w:ascii="宋体" w:hAnsi="宋体" w:cs="宋体"/>
                <w:bCs/>
                <w:sz w:val="24"/>
              </w:rPr>
            </w:pPr>
          </w:p>
        </w:tc>
      </w:tr>
    </w:tbl>
    <w:p w14:paraId="1F9B2D27">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79E9A7A3">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1EE699E">
      <w:pPr>
        <w:spacing w:line="360" w:lineRule="exact"/>
        <w:rPr>
          <w:rFonts w:hint="eastAsia" w:ascii="宋体" w:hAnsi="宋体" w:cs="宋体"/>
          <w:bCs/>
          <w:sz w:val="24"/>
        </w:rPr>
      </w:pPr>
    </w:p>
    <w:p w14:paraId="6DF70F87">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0654241D">
      <w:pPr>
        <w:spacing w:line="360" w:lineRule="exact"/>
        <w:rPr>
          <w:rFonts w:hint="default" w:ascii="宋体" w:hAnsi="宋体" w:cs="宋体" w:eastAsiaTheme="minorEastAsia"/>
          <w:bCs/>
          <w:sz w:val="24"/>
          <w:u w:val="single"/>
          <w:lang w:val="en-US" w:eastAsia="zh-CN"/>
        </w:rPr>
      </w:pPr>
    </w:p>
    <w:p w14:paraId="3B4350D9">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114CBD74">
      <w:pPr>
        <w:rPr>
          <w:rFonts w:hint="eastAsia"/>
          <w:lang w:val="en-US" w:eastAsia="zh-CN"/>
        </w:rPr>
      </w:pPr>
      <w:r>
        <w:rPr>
          <w:rFonts w:hint="eastAsia"/>
          <w:lang w:val="en-US" w:eastAsia="zh-CN"/>
        </w:rPr>
        <w:br w:type="page"/>
      </w:r>
    </w:p>
    <w:p w14:paraId="4E7EAFEB">
      <w:pPr>
        <w:tabs>
          <w:tab w:val="left" w:pos="2803"/>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191FEAB2">
      <w:pPr>
        <w:spacing w:line="360" w:lineRule="exact"/>
        <w:jc w:val="center"/>
        <w:outlineLvl w:val="0"/>
        <w:rPr>
          <w:rFonts w:hint="eastAsia" w:ascii="宋体" w:hAnsi="宋体" w:cs="宋体"/>
          <w:b/>
          <w:bCs/>
          <w:sz w:val="24"/>
          <w:lang w:val="en-US" w:eastAsia="zh-CN"/>
        </w:rPr>
      </w:pPr>
    </w:p>
    <w:p w14:paraId="23CF619F">
      <w:pPr>
        <w:spacing w:line="360" w:lineRule="exact"/>
        <w:rPr>
          <w:rFonts w:hint="eastAsia" w:ascii="宋体" w:hAnsi="宋体" w:cs="宋体"/>
          <w:bCs/>
          <w:sz w:val="24"/>
          <w:u w:val="none"/>
          <w:lang w:val="en-US" w:eastAsia="zh-CN"/>
        </w:rPr>
      </w:pPr>
    </w:p>
    <w:p w14:paraId="735F442B">
      <w:pPr>
        <w:tabs>
          <w:tab w:val="left" w:pos="1365"/>
        </w:tabs>
        <w:spacing w:line="440" w:lineRule="exact"/>
        <w:jc w:val="center"/>
        <w:outlineLvl w:val="0"/>
        <w:rPr>
          <w:rFonts w:hint="eastAsia" w:ascii="宋体" w:hAnsi="宋体" w:cs="宋体"/>
          <w:b/>
          <w:bCs/>
          <w:sz w:val="24"/>
        </w:rPr>
      </w:pPr>
      <w:bookmarkStart w:id="59" w:name="_Toc179"/>
      <w:bookmarkStart w:id="60" w:name="_Toc16638"/>
      <w:r>
        <w:rPr>
          <w:rFonts w:hint="eastAsia" w:ascii="宋体" w:hAnsi="宋体" w:cs="宋体"/>
          <w:b/>
          <w:bCs/>
          <w:sz w:val="24"/>
          <w:lang w:val="en-US" w:eastAsia="zh-CN"/>
        </w:rPr>
        <w:t>三</w:t>
      </w:r>
      <w:r>
        <w:rPr>
          <w:rFonts w:hint="eastAsia" w:ascii="宋体" w:hAnsi="宋体" w:cs="宋体"/>
          <w:b/>
          <w:bCs/>
          <w:sz w:val="24"/>
        </w:rPr>
        <w:t>、法定代表人身份证明书</w:t>
      </w:r>
      <w:bookmarkEnd w:id="59"/>
      <w:bookmarkEnd w:id="60"/>
    </w:p>
    <w:p w14:paraId="0003B364">
      <w:pPr>
        <w:tabs>
          <w:tab w:val="left" w:pos="1365"/>
        </w:tabs>
        <w:spacing w:line="440" w:lineRule="exact"/>
        <w:jc w:val="center"/>
        <w:outlineLvl w:val="9"/>
        <w:rPr>
          <w:rFonts w:hint="eastAsia" w:ascii="宋体" w:hAnsi="宋体" w:cs="宋体"/>
          <w:b/>
          <w:bCs/>
          <w:sz w:val="24"/>
        </w:rPr>
      </w:pPr>
    </w:p>
    <w:p w14:paraId="2214888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198EEF83">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17F26D9F">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041679F1">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FA6A9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6C4D1AD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29601D8">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361ED346">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3C90E32E">
      <w:pPr>
        <w:tabs>
          <w:tab w:val="left" w:pos="1365"/>
        </w:tabs>
        <w:spacing w:line="440" w:lineRule="exact"/>
        <w:ind w:firstLine="480" w:firstLineChars="200"/>
        <w:rPr>
          <w:rFonts w:hint="eastAsia" w:ascii="宋体" w:hAnsi="宋体" w:cs="宋体"/>
          <w:sz w:val="24"/>
        </w:rPr>
      </w:pPr>
    </w:p>
    <w:p w14:paraId="3DFF10A6">
      <w:pPr>
        <w:tabs>
          <w:tab w:val="left" w:pos="1365"/>
        </w:tabs>
        <w:spacing w:line="440" w:lineRule="exact"/>
        <w:rPr>
          <w:rFonts w:hint="eastAsia" w:ascii="宋体" w:hAnsi="宋体" w:cs="宋体"/>
          <w:sz w:val="24"/>
          <w:u w:val="single"/>
        </w:rPr>
      </w:pPr>
    </w:p>
    <w:p w14:paraId="6B8B5D32">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1BE38A8D">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E9BC1C4">
      <w:pPr>
        <w:tabs>
          <w:tab w:val="left" w:pos="1365"/>
        </w:tabs>
        <w:spacing w:line="440" w:lineRule="exact"/>
        <w:jc w:val="left"/>
        <w:rPr>
          <w:rFonts w:hint="eastAsia" w:ascii="宋体" w:hAnsi="宋体" w:cs="宋体"/>
          <w:sz w:val="24"/>
        </w:rPr>
      </w:pPr>
    </w:p>
    <w:p w14:paraId="0EC80CDB">
      <w:pPr>
        <w:tabs>
          <w:tab w:val="left" w:pos="1365"/>
        </w:tabs>
        <w:spacing w:line="440" w:lineRule="exact"/>
        <w:jc w:val="both"/>
        <w:rPr>
          <w:rFonts w:hint="eastAsia" w:ascii="宋体" w:hAnsi="宋体" w:cs="宋体"/>
          <w:b/>
          <w:sz w:val="24"/>
        </w:rPr>
      </w:pP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639445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4.4pt;margin-top:50.35pt;height:124.75pt;width:189pt;z-index:251659264;mso-width-relative:page;mso-height-relative:page;" fillcolor="#FFFFFF" filled="t" stroked="t" coordsize="21600,21600" o:gfxdata="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1vNyPWAAAACQEAAA8AAAAAAAAAAQAgAAAAIgAAAGRycy9kb3ducmV2LnhtbFBLAQIUABQAAAAI&#10;AIdO4kBTLY2WKAIAAFAEAAAOAAAAAAAAAAEAIAAAACUBAABkcnMvZTJvRG9jLnhtbFBLBQYAAAAA&#10;BgAGAFkBAAC/BQ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r>
        <w:rPr>
          <w:rFonts w:hint="eastAsia" w:ascii="宋体" w:hAnsi="宋体" w:cs="宋体"/>
          <w:b/>
          <w:sz w:val="24"/>
        </w:rPr>
        <w:t>附：法定代表人身份证复印件如下</w:t>
      </w:r>
    </w:p>
    <w:p w14:paraId="63320547">
      <w:pPr>
        <w:tabs>
          <w:tab w:val="left" w:pos="1365"/>
        </w:tabs>
        <w:spacing w:line="440" w:lineRule="exact"/>
        <w:jc w:val="left"/>
        <w:rPr>
          <w:rFonts w:hint="eastAsia" w:ascii="宋体" w:hAnsi="宋体" w:cs="宋体"/>
          <w:sz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2628265</wp:posOffset>
                </wp:positionH>
                <wp:positionV relativeFrom="paragraph">
                  <wp:posOffset>412750</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06.95pt;margin-top:32.5pt;height:124.75pt;width:189pt;z-index:251660288;mso-width-relative:page;mso-height-relative:page;" fillcolor="#FFFFFF" filled="t" stroked="t" coordsize="21600,21600" o:gfxdata="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VFR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p>
    <w:p w14:paraId="0BF7C8A8">
      <w:pPr>
        <w:tabs>
          <w:tab w:val="left" w:pos="1365"/>
        </w:tabs>
        <w:spacing w:line="440" w:lineRule="exact"/>
        <w:jc w:val="center"/>
        <w:outlineLvl w:val="0"/>
        <w:rPr>
          <w:rFonts w:hint="eastAsia" w:ascii="宋体" w:hAnsi="宋体" w:cs="宋体"/>
          <w:b/>
          <w:bCs/>
          <w:sz w:val="24"/>
        </w:rPr>
      </w:pPr>
      <w:bookmarkStart w:id="61" w:name="_Toc20515"/>
      <w:bookmarkStart w:id="62" w:name="_Toc25635"/>
      <w:bookmarkStart w:id="63" w:name="_Toc14756"/>
      <w:r>
        <w:rPr>
          <w:rFonts w:hint="eastAsia" w:ascii="宋体" w:hAnsi="宋体" w:cs="宋体"/>
          <w:b/>
          <w:bCs/>
          <w:sz w:val="24"/>
          <w:lang w:val="en-US" w:eastAsia="zh-CN"/>
        </w:rPr>
        <w:t>四</w:t>
      </w:r>
      <w:r>
        <w:rPr>
          <w:rFonts w:hint="eastAsia" w:ascii="宋体" w:hAnsi="宋体" w:cs="宋体"/>
          <w:b/>
          <w:bCs/>
          <w:sz w:val="24"/>
        </w:rPr>
        <w:t>、授权委托书</w:t>
      </w:r>
      <w:bookmarkEnd w:id="61"/>
      <w:bookmarkEnd w:id="62"/>
      <w:bookmarkEnd w:id="63"/>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遴选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7B7EBCB4">
      <w:p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64" w:name="_Toc596"/>
      <w:r>
        <w:rPr>
          <w:rFonts w:hint="eastAsia" w:ascii="宋体" w:hAnsi="宋体" w:cs="宋体"/>
          <w:b/>
          <w:caps/>
          <w:sz w:val="24"/>
        </w:rPr>
        <w:br w:type="page"/>
      </w:r>
      <w:bookmarkEnd w:id="64"/>
      <w:bookmarkStart w:id="65" w:name="_Toc13935"/>
      <w:bookmarkStart w:id="66" w:name="_Toc13498"/>
      <w:bookmarkStart w:id="67" w:name="_Toc5601"/>
      <w:r>
        <w:rPr>
          <w:rFonts w:hint="eastAsia" w:ascii="宋体" w:hAnsi="宋体" w:cs="宋体"/>
          <w:b/>
          <w:caps/>
          <w:sz w:val="24"/>
          <w:lang w:val="en-US" w:eastAsia="zh-CN"/>
        </w:rPr>
        <w:t>五</w:t>
      </w:r>
      <w:r>
        <w:rPr>
          <w:rFonts w:hint="eastAsia" w:ascii="宋体" w:hAnsi="宋体" w:cs="宋体"/>
          <w:b/>
          <w:caps/>
          <w:sz w:val="24"/>
        </w:rPr>
        <w:t>、</w:t>
      </w:r>
      <w:bookmarkEnd w:id="65"/>
      <w:bookmarkEnd w:id="66"/>
      <w:r>
        <w:rPr>
          <w:rFonts w:hint="eastAsia" w:ascii="宋体" w:hAnsi="宋体" w:cs="宋体"/>
          <w:b/>
          <w:caps/>
          <w:sz w:val="24"/>
          <w:lang w:val="en-US" w:eastAsia="zh-CN"/>
        </w:rPr>
        <w:t>营业执照及其他资质文件</w:t>
      </w:r>
      <w:bookmarkEnd w:id="67"/>
      <w:bookmarkStart w:id="68" w:name="_Toc22090"/>
    </w:p>
    <w:p w14:paraId="0CF0B843">
      <w:pPr>
        <w:numPr>
          <w:ilvl w:val="0"/>
          <w:numId w:val="0"/>
        </w:numPr>
        <w:autoSpaceDE w:val="0"/>
        <w:autoSpaceDN w:val="0"/>
        <w:adjustRightInd w:val="0"/>
        <w:spacing w:line="440" w:lineRule="exact"/>
        <w:ind w:left="361" w:leftChars="0"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1.《营业执照》</w:t>
      </w:r>
    </w:p>
    <w:p w14:paraId="0B180334">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2.具有良好的商业信誉和财务会计制度（2023年或2024年经第三方审计的审计报告或2024年1月至2025年3月任意三个月财务报表（含资产负债表、现金流量表、利润表）或近三个月银行开具的征信报告，新成立不满三个月的企业无需提供）。</w:t>
      </w:r>
    </w:p>
    <w:p w14:paraId="0D70C533">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3.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3C2B3541">
      <w:pPr>
        <w:numPr>
          <w:ilvl w:val="0"/>
          <w:numId w:val="0"/>
        </w:numPr>
        <w:autoSpaceDE w:val="0"/>
        <w:autoSpaceDN w:val="0"/>
        <w:adjustRightInd w:val="0"/>
        <w:spacing w:line="440" w:lineRule="exact"/>
        <w:ind w:right="-20" w:rightChars="0" w:firstLine="241" w:firstLineChars="100"/>
        <w:jc w:val="left"/>
        <w:outlineLvl w:val="0"/>
        <w:rPr>
          <w:rFonts w:hint="eastAsia" w:ascii="宋体" w:hAnsi="宋体" w:cs="宋体"/>
          <w:b/>
          <w:caps/>
          <w:sz w:val="24"/>
          <w:lang w:val="en-US" w:eastAsia="zh-CN"/>
        </w:rPr>
      </w:pPr>
      <w:r>
        <w:rPr>
          <w:rFonts w:hint="eastAsia" w:ascii="宋体" w:hAnsi="宋体" w:cs="宋体"/>
          <w:b/>
          <w:caps/>
          <w:sz w:val="24"/>
          <w:lang w:val="en-US" w:eastAsia="zh-CN"/>
        </w:rPr>
        <w:t>  4.参加政府采购活动前三年内，在经营活动中没有重大违法记录的书面声明（重大违法记录，是指潜在供应商因违法经营受到刑事处罚或者责令停产停业、吊销许可证或者执照、较大数额罚款等行政处罚）。</w:t>
      </w:r>
    </w:p>
    <w:p w14:paraId="66247218">
      <w:pPr>
        <w:numPr>
          <w:ilvl w:val="0"/>
          <w:numId w:val="0"/>
        </w:numPr>
        <w:autoSpaceDE w:val="0"/>
        <w:autoSpaceDN w:val="0"/>
        <w:adjustRightInd w:val="0"/>
        <w:spacing w:line="440" w:lineRule="exact"/>
        <w:ind w:right="-20" w:rightChars="0" w:firstLine="241" w:firstLineChars="100"/>
        <w:jc w:val="left"/>
        <w:outlineLvl w:val="0"/>
        <w:rPr>
          <w:rFonts w:hint="default" w:ascii="宋体" w:hAnsi="宋体" w:cs="宋体"/>
          <w:b/>
          <w:caps/>
          <w:sz w:val="24"/>
          <w:lang w:val="en-US" w:eastAsia="zh-CN"/>
        </w:rPr>
      </w:pPr>
      <w:r>
        <w:rPr>
          <w:rFonts w:hint="eastAsia" w:ascii="宋体" w:hAnsi="宋体" w:cs="宋体"/>
          <w:b/>
          <w:caps/>
          <w:sz w:val="24"/>
          <w:lang w:val="en-US" w:eastAsia="zh-CN"/>
        </w:rPr>
        <w:t>5.供应商认为需提供的其他材料</w:t>
      </w:r>
    </w:p>
    <w:p w14:paraId="0CDDD5D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302026F">
      <w:pPr>
        <w:spacing w:line="440" w:lineRule="exact"/>
        <w:jc w:val="center"/>
        <w:rPr>
          <w:rFonts w:hint="eastAsia" w:ascii="宋体" w:hAnsi="宋体" w:cs="宋体"/>
          <w:b/>
          <w:caps/>
          <w:sz w:val="24"/>
          <w:highlight w:val="yellow"/>
        </w:rPr>
      </w:pPr>
      <w:r>
        <w:rPr>
          <w:rFonts w:hint="eastAsia" w:ascii="宋体" w:hAnsi="宋体" w:cs="宋体"/>
          <w:b/>
          <w:sz w:val="24"/>
        </w:rPr>
        <w:br w:type="page"/>
      </w:r>
      <w:bookmarkEnd w:id="68"/>
    </w:p>
    <w:p w14:paraId="26CA01C3">
      <w:pPr>
        <w:numPr>
          <w:ilvl w:val="0"/>
          <w:numId w:val="2"/>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bookmarkStart w:id="69" w:name="_Toc32371"/>
      <w:r>
        <w:rPr>
          <w:rFonts w:hint="eastAsia" w:ascii="宋体" w:hAnsi="宋体" w:cs="宋体"/>
          <w:b/>
          <w:caps/>
          <w:sz w:val="24"/>
          <w:lang w:val="en-US" w:eastAsia="zh-CN"/>
        </w:rPr>
        <w:t>产品资料介绍、质量承诺</w:t>
      </w:r>
    </w:p>
    <w:p w14:paraId="2BE85D16">
      <w:pPr>
        <w:numPr>
          <w:ilvl w:val="0"/>
          <w:numId w:val="0"/>
        </w:numPr>
        <w:autoSpaceDE w:val="0"/>
        <w:autoSpaceDN w:val="0"/>
        <w:adjustRightInd w:val="0"/>
        <w:spacing w:line="440" w:lineRule="exact"/>
        <w:ind w:right="-20" w:rightChars="0"/>
        <w:jc w:val="both"/>
        <w:outlineLvl w:val="0"/>
        <w:rPr>
          <w:rFonts w:hint="eastAsia" w:ascii="宋体" w:hAnsi="宋体" w:cs="宋体"/>
          <w:b w:val="0"/>
          <w:bCs/>
          <w:caps/>
          <w:sz w:val="24"/>
          <w:lang w:val="en-US" w:eastAsia="zh-CN"/>
        </w:rPr>
      </w:pPr>
      <w:r>
        <w:rPr>
          <w:rFonts w:hint="eastAsia" w:ascii="宋体" w:hAnsi="宋体" w:cs="宋体"/>
          <w:b/>
          <w:bCs w:val="0"/>
          <w:caps/>
          <w:sz w:val="24"/>
          <w:lang w:val="en-US" w:eastAsia="zh-CN"/>
        </w:rPr>
        <w:t>（可提供彩页，其他单位制作成品图片信息、质量承诺、售后服务、</w:t>
      </w:r>
      <w:r>
        <w:rPr>
          <w:rFonts w:hint="eastAsia" w:ascii="宋体" w:hAnsi="宋体" w:cs="宋体"/>
          <w:b/>
          <w:caps/>
          <w:sz w:val="24"/>
          <w:lang w:val="en-US" w:eastAsia="zh-CN"/>
        </w:rPr>
        <w:t>改造方案</w:t>
      </w:r>
      <w:r>
        <w:rPr>
          <w:rFonts w:hint="eastAsia" w:ascii="宋体" w:hAnsi="宋体" w:cs="宋体"/>
          <w:b/>
          <w:bCs w:val="0"/>
          <w:caps/>
          <w:sz w:val="24"/>
          <w:lang w:val="en-US" w:eastAsia="zh-CN"/>
        </w:rPr>
        <w:t>等</w:t>
      </w:r>
      <w:r>
        <w:rPr>
          <w:rFonts w:hint="eastAsia" w:ascii="宋体" w:hAnsi="宋体" w:cs="宋体"/>
          <w:b w:val="0"/>
          <w:bCs/>
          <w:caps/>
          <w:sz w:val="24"/>
          <w:lang w:val="en-US" w:eastAsia="zh-CN"/>
        </w:rPr>
        <w:t>）</w:t>
      </w:r>
      <w:bookmarkEnd w:id="69"/>
    </w:p>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70" w:name="_Toc21973"/>
      <w:r>
        <w:rPr>
          <w:rFonts w:hint="eastAsia" w:ascii="宋体" w:hAnsi="宋体" w:cs="宋体"/>
          <w:b/>
          <w:kern w:val="0"/>
          <w:sz w:val="24"/>
          <w:lang w:val="en-US" w:eastAsia="zh-CN"/>
        </w:rPr>
        <w:t>七、物资购销廉洁承诺书</w:t>
      </w:r>
      <w:bookmarkEnd w:id="70"/>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遴选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遴选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1" w:name="_Toc17813"/>
      <w:r>
        <w:rPr>
          <w:rFonts w:hint="eastAsia" w:ascii="宋体" w:hAnsi="宋体" w:cs="宋体"/>
          <w:b/>
          <w:kern w:val="0"/>
          <w:sz w:val="24"/>
          <w:lang w:val="en-US" w:eastAsia="zh-CN"/>
        </w:rPr>
        <w:t>八、防止利益冲突有关情况报告表</w:t>
      </w:r>
      <w:bookmarkEnd w:id="71"/>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9AA5A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9DF256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73521C1E">
      <w:pPr>
        <w:spacing w:line="420" w:lineRule="exact"/>
        <w:jc w:val="center"/>
        <w:outlineLvl w:val="9"/>
        <w:rPr>
          <w:rFonts w:hint="eastAsia" w:ascii="宋体" w:hAnsi="宋体" w:cs="宋体"/>
          <w:sz w:val="24"/>
        </w:rPr>
      </w:pPr>
      <w:bookmarkStart w:id="72" w:name="_Toc82006153"/>
      <w:bookmarkStart w:id="73" w:name="_Toc16255"/>
      <w:bookmarkStart w:id="74" w:name="_Toc87805328"/>
      <w:bookmarkStart w:id="75" w:name="_Toc20890"/>
      <w:bookmarkStart w:id="76" w:name="_Toc82724073"/>
      <w:bookmarkStart w:id="77" w:name="_Toc27346"/>
      <w:bookmarkStart w:id="78" w:name="_Toc7910"/>
    </w:p>
    <w:bookmarkEnd w:id="72"/>
    <w:bookmarkEnd w:id="73"/>
    <w:bookmarkEnd w:id="74"/>
    <w:bookmarkEnd w:id="75"/>
    <w:bookmarkEnd w:id="76"/>
    <w:bookmarkEnd w:id="77"/>
    <w:bookmarkEnd w:id="7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460342-CF16-4F10-AB96-AE170936EB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B9C741-471A-442C-A127-131CFE5086E0}"/>
  </w:font>
  <w:font w:name="仿宋_GB2312">
    <w:panose1 w:val="02010609030101010101"/>
    <w:charset w:val="86"/>
    <w:family w:val="auto"/>
    <w:pitch w:val="default"/>
    <w:sig w:usb0="00000001" w:usb1="080E0000" w:usb2="00000000" w:usb3="00000000" w:csb0="00040000" w:csb1="00000000"/>
    <w:embedRegular r:id="rId3" w:fontKey="{06698A0D-651B-47F6-B273-CDDF67800C0C}"/>
  </w:font>
  <w:font w:name="方正小标宋_GBK">
    <w:panose1 w:val="02000000000000000000"/>
    <w:charset w:val="86"/>
    <w:family w:val="auto"/>
    <w:pitch w:val="default"/>
    <w:sig w:usb0="A00002BF" w:usb1="38CF7CFA" w:usb2="00082016" w:usb3="00000000" w:csb0="00040001" w:csb1="00000000"/>
    <w:embedRegular r:id="rId4" w:fontKey="{DC0075B2-98C5-43B7-87E6-9C10092F76F2}"/>
  </w:font>
  <w:font w:name="方正仿宋_GBK">
    <w:panose1 w:val="03000509000000000000"/>
    <w:charset w:val="86"/>
    <w:family w:val="auto"/>
    <w:pitch w:val="default"/>
    <w:sig w:usb0="00000001" w:usb1="080E0000" w:usb2="00000000" w:usb3="00000000" w:csb0="00040000" w:csb1="00000000"/>
    <w:embedRegular r:id="rId5" w:fontKey="{EB49BEBB-53D3-4C65-B979-C2227F2C1A84}"/>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22A7BFC3-E2B3-4CEA-B9E3-F1CA00DC37F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9B981"/>
    <w:multiLevelType w:val="singleLevel"/>
    <w:tmpl w:val="47D9B981"/>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0563274"/>
    <w:rsid w:val="00A42231"/>
    <w:rsid w:val="01057174"/>
    <w:rsid w:val="01127064"/>
    <w:rsid w:val="0132783D"/>
    <w:rsid w:val="018A58CB"/>
    <w:rsid w:val="01B464A4"/>
    <w:rsid w:val="01CF1530"/>
    <w:rsid w:val="01DD3C4D"/>
    <w:rsid w:val="02133E97"/>
    <w:rsid w:val="033A3AA0"/>
    <w:rsid w:val="03A639DC"/>
    <w:rsid w:val="03CA6453"/>
    <w:rsid w:val="04041965"/>
    <w:rsid w:val="04ED23F9"/>
    <w:rsid w:val="054D2E98"/>
    <w:rsid w:val="0593107F"/>
    <w:rsid w:val="075C73C2"/>
    <w:rsid w:val="07D258D6"/>
    <w:rsid w:val="07FE491D"/>
    <w:rsid w:val="081E4FBF"/>
    <w:rsid w:val="08A87477"/>
    <w:rsid w:val="08C16076"/>
    <w:rsid w:val="08CE42EF"/>
    <w:rsid w:val="097C1F9D"/>
    <w:rsid w:val="0983157E"/>
    <w:rsid w:val="09B72FD5"/>
    <w:rsid w:val="09F927AF"/>
    <w:rsid w:val="0A652A31"/>
    <w:rsid w:val="0AE65DE6"/>
    <w:rsid w:val="0B0C55A3"/>
    <w:rsid w:val="0B2B77D7"/>
    <w:rsid w:val="0B531DCA"/>
    <w:rsid w:val="0BFE313E"/>
    <w:rsid w:val="0C8D626F"/>
    <w:rsid w:val="0C9910B8"/>
    <w:rsid w:val="0D10137A"/>
    <w:rsid w:val="0D3B3F1D"/>
    <w:rsid w:val="0DDA54E4"/>
    <w:rsid w:val="0DDB0289"/>
    <w:rsid w:val="0E0F1632"/>
    <w:rsid w:val="0E741495"/>
    <w:rsid w:val="0ECA7307"/>
    <w:rsid w:val="0F957915"/>
    <w:rsid w:val="0FD20B69"/>
    <w:rsid w:val="10167818"/>
    <w:rsid w:val="104B091B"/>
    <w:rsid w:val="108E6EEA"/>
    <w:rsid w:val="10A342B4"/>
    <w:rsid w:val="10B1077E"/>
    <w:rsid w:val="10BB680D"/>
    <w:rsid w:val="10D91A83"/>
    <w:rsid w:val="112C6057"/>
    <w:rsid w:val="130E06F3"/>
    <w:rsid w:val="136A2E67"/>
    <w:rsid w:val="13B81E24"/>
    <w:rsid w:val="13E23345"/>
    <w:rsid w:val="14472AF6"/>
    <w:rsid w:val="14D42C8D"/>
    <w:rsid w:val="14E2467B"/>
    <w:rsid w:val="170B4961"/>
    <w:rsid w:val="178D35C8"/>
    <w:rsid w:val="17944956"/>
    <w:rsid w:val="17D11706"/>
    <w:rsid w:val="17D336D0"/>
    <w:rsid w:val="18273A1C"/>
    <w:rsid w:val="18B84674"/>
    <w:rsid w:val="19153875"/>
    <w:rsid w:val="1917583F"/>
    <w:rsid w:val="19913C87"/>
    <w:rsid w:val="19FA13E8"/>
    <w:rsid w:val="1A163D48"/>
    <w:rsid w:val="1A2521DD"/>
    <w:rsid w:val="1A3A0E9F"/>
    <w:rsid w:val="1A6940BC"/>
    <w:rsid w:val="1A9C424D"/>
    <w:rsid w:val="1B012302"/>
    <w:rsid w:val="1BD712B5"/>
    <w:rsid w:val="1C2E35CB"/>
    <w:rsid w:val="1CE343B6"/>
    <w:rsid w:val="1CE95744"/>
    <w:rsid w:val="1D4F73DC"/>
    <w:rsid w:val="1DB93368"/>
    <w:rsid w:val="1DE55F0B"/>
    <w:rsid w:val="1E05210A"/>
    <w:rsid w:val="1E205195"/>
    <w:rsid w:val="1E3B1FCF"/>
    <w:rsid w:val="1F8E783A"/>
    <w:rsid w:val="1FDD6F91"/>
    <w:rsid w:val="20191E9C"/>
    <w:rsid w:val="205729C2"/>
    <w:rsid w:val="21091F11"/>
    <w:rsid w:val="2120725A"/>
    <w:rsid w:val="21463165"/>
    <w:rsid w:val="21A41C3A"/>
    <w:rsid w:val="21A90C9F"/>
    <w:rsid w:val="21B300CF"/>
    <w:rsid w:val="22372AAE"/>
    <w:rsid w:val="2268710B"/>
    <w:rsid w:val="24AD52A9"/>
    <w:rsid w:val="252A68FA"/>
    <w:rsid w:val="25341EA9"/>
    <w:rsid w:val="2539485F"/>
    <w:rsid w:val="254179F8"/>
    <w:rsid w:val="27DD5B2C"/>
    <w:rsid w:val="27EB5572"/>
    <w:rsid w:val="282454DA"/>
    <w:rsid w:val="284D302B"/>
    <w:rsid w:val="286B7203"/>
    <w:rsid w:val="288E6299"/>
    <w:rsid w:val="28C44222"/>
    <w:rsid w:val="28E15644"/>
    <w:rsid w:val="28F15BC1"/>
    <w:rsid w:val="28F65471"/>
    <w:rsid w:val="2ABA6888"/>
    <w:rsid w:val="2BD33847"/>
    <w:rsid w:val="2C0B6D2F"/>
    <w:rsid w:val="2C1F4CDE"/>
    <w:rsid w:val="2CA6554B"/>
    <w:rsid w:val="2D145EC5"/>
    <w:rsid w:val="2DBD030B"/>
    <w:rsid w:val="2E0C3040"/>
    <w:rsid w:val="2E701821"/>
    <w:rsid w:val="2EC41B6D"/>
    <w:rsid w:val="2F097580"/>
    <w:rsid w:val="301B756B"/>
    <w:rsid w:val="30332B06"/>
    <w:rsid w:val="30393E95"/>
    <w:rsid w:val="30C044B7"/>
    <w:rsid w:val="30CA72FD"/>
    <w:rsid w:val="311A44DB"/>
    <w:rsid w:val="31DC21FE"/>
    <w:rsid w:val="32096215"/>
    <w:rsid w:val="322E5C7B"/>
    <w:rsid w:val="33154745"/>
    <w:rsid w:val="33DF48D0"/>
    <w:rsid w:val="347B4C58"/>
    <w:rsid w:val="349B116F"/>
    <w:rsid w:val="352A10EC"/>
    <w:rsid w:val="36274EBB"/>
    <w:rsid w:val="370945C1"/>
    <w:rsid w:val="37621F23"/>
    <w:rsid w:val="377C1237"/>
    <w:rsid w:val="37DA7D0B"/>
    <w:rsid w:val="37F76B0F"/>
    <w:rsid w:val="380D6333"/>
    <w:rsid w:val="38D64977"/>
    <w:rsid w:val="395A1104"/>
    <w:rsid w:val="39D4535A"/>
    <w:rsid w:val="3A8521B0"/>
    <w:rsid w:val="3AEF1D20"/>
    <w:rsid w:val="3B2E2848"/>
    <w:rsid w:val="3C011D0B"/>
    <w:rsid w:val="3C9963E7"/>
    <w:rsid w:val="3C9E39FD"/>
    <w:rsid w:val="3CA01523"/>
    <w:rsid w:val="3CB11983"/>
    <w:rsid w:val="3CE358B4"/>
    <w:rsid w:val="3D001FC2"/>
    <w:rsid w:val="3D605AF2"/>
    <w:rsid w:val="3DF24001"/>
    <w:rsid w:val="3DFA1107"/>
    <w:rsid w:val="3EBF7C5B"/>
    <w:rsid w:val="3F620473"/>
    <w:rsid w:val="3F620D12"/>
    <w:rsid w:val="3F9F75C2"/>
    <w:rsid w:val="401F30A7"/>
    <w:rsid w:val="40510274"/>
    <w:rsid w:val="415B3C6B"/>
    <w:rsid w:val="41D94592"/>
    <w:rsid w:val="41DE664A"/>
    <w:rsid w:val="421F2EEA"/>
    <w:rsid w:val="42AB3D39"/>
    <w:rsid w:val="431E235B"/>
    <w:rsid w:val="43A6084D"/>
    <w:rsid w:val="44131682"/>
    <w:rsid w:val="4427252A"/>
    <w:rsid w:val="45AB2CE7"/>
    <w:rsid w:val="460A5784"/>
    <w:rsid w:val="46FE3A16"/>
    <w:rsid w:val="47174AD8"/>
    <w:rsid w:val="47482EE3"/>
    <w:rsid w:val="47BB36B5"/>
    <w:rsid w:val="48CA3D62"/>
    <w:rsid w:val="49C03205"/>
    <w:rsid w:val="49C64593"/>
    <w:rsid w:val="49D2118A"/>
    <w:rsid w:val="4A2D63C1"/>
    <w:rsid w:val="4A617FC6"/>
    <w:rsid w:val="4A657908"/>
    <w:rsid w:val="4A8A736F"/>
    <w:rsid w:val="4AC73CC9"/>
    <w:rsid w:val="4AF77A4F"/>
    <w:rsid w:val="4B306168"/>
    <w:rsid w:val="4B4B4D50"/>
    <w:rsid w:val="4B7C315C"/>
    <w:rsid w:val="4B944949"/>
    <w:rsid w:val="4C802A4D"/>
    <w:rsid w:val="4C8B1ABB"/>
    <w:rsid w:val="4C9D782D"/>
    <w:rsid w:val="4CB15087"/>
    <w:rsid w:val="4D27359B"/>
    <w:rsid w:val="4D5D520F"/>
    <w:rsid w:val="4DB12E65"/>
    <w:rsid w:val="4EA533B8"/>
    <w:rsid w:val="4EDE1FDD"/>
    <w:rsid w:val="4FF8133B"/>
    <w:rsid w:val="50E579F5"/>
    <w:rsid w:val="51C15D6C"/>
    <w:rsid w:val="51DA6E2E"/>
    <w:rsid w:val="51EA18B1"/>
    <w:rsid w:val="52551F21"/>
    <w:rsid w:val="52B07B8F"/>
    <w:rsid w:val="53603363"/>
    <w:rsid w:val="53871B01"/>
    <w:rsid w:val="540A3A96"/>
    <w:rsid w:val="54322F51"/>
    <w:rsid w:val="54DE4E87"/>
    <w:rsid w:val="55006BAB"/>
    <w:rsid w:val="553E5926"/>
    <w:rsid w:val="55937A20"/>
    <w:rsid w:val="55E97640"/>
    <w:rsid w:val="561A3879"/>
    <w:rsid w:val="565076BF"/>
    <w:rsid w:val="56C34335"/>
    <w:rsid w:val="56FB3ACE"/>
    <w:rsid w:val="57964F4B"/>
    <w:rsid w:val="57C245EC"/>
    <w:rsid w:val="589057FE"/>
    <w:rsid w:val="590824D3"/>
    <w:rsid w:val="59372DB8"/>
    <w:rsid w:val="59A541C5"/>
    <w:rsid w:val="59B6770B"/>
    <w:rsid w:val="5A032C9A"/>
    <w:rsid w:val="5A9A3256"/>
    <w:rsid w:val="5AD40A2E"/>
    <w:rsid w:val="5B40335E"/>
    <w:rsid w:val="5B776BAE"/>
    <w:rsid w:val="5BBB7CD0"/>
    <w:rsid w:val="5BC97B3F"/>
    <w:rsid w:val="5C2E2841"/>
    <w:rsid w:val="5C31613D"/>
    <w:rsid w:val="5C9347A9"/>
    <w:rsid w:val="5CDF354A"/>
    <w:rsid w:val="5D2B49E2"/>
    <w:rsid w:val="5D5A7075"/>
    <w:rsid w:val="5D630277"/>
    <w:rsid w:val="5E8343A9"/>
    <w:rsid w:val="5E914D18"/>
    <w:rsid w:val="5F5226F9"/>
    <w:rsid w:val="60E1226B"/>
    <w:rsid w:val="60E83A4C"/>
    <w:rsid w:val="612C0D28"/>
    <w:rsid w:val="61324F68"/>
    <w:rsid w:val="618C5376"/>
    <w:rsid w:val="61A46529"/>
    <w:rsid w:val="61F30525"/>
    <w:rsid w:val="61F71336"/>
    <w:rsid w:val="6211064A"/>
    <w:rsid w:val="621974FF"/>
    <w:rsid w:val="623B56C7"/>
    <w:rsid w:val="625B6C39"/>
    <w:rsid w:val="64137F7D"/>
    <w:rsid w:val="647629E6"/>
    <w:rsid w:val="64C51278"/>
    <w:rsid w:val="64FD6DD0"/>
    <w:rsid w:val="661E3335"/>
    <w:rsid w:val="66772A46"/>
    <w:rsid w:val="669435F8"/>
    <w:rsid w:val="67B6586C"/>
    <w:rsid w:val="697F058F"/>
    <w:rsid w:val="698414AB"/>
    <w:rsid w:val="69A74BCD"/>
    <w:rsid w:val="6AAB53B4"/>
    <w:rsid w:val="6AC67AF8"/>
    <w:rsid w:val="6AE17E57"/>
    <w:rsid w:val="6B3709F5"/>
    <w:rsid w:val="6B855C05"/>
    <w:rsid w:val="6C465394"/>
    <w:rsid w:val="6CFA7F2C"/>
    <w:rsid w:val="6D140FEE"/>
    <w:rsid w:val="6DB8406F"/>
    <w:rsid w:val="6E850527"/>
    <w:rsid w:val="6E9543B1"/>
    <w:rsid w:val="6EBD1212"/>
    <w:rsid w:val="6ECB392F"/>
    <w:rsid w:val="6F410095"/>
    <w:rsid w:val="6F4831D1"/>
    <w:rsid w:val="6FCF744E"/>
    <w:rsid w:val="702E0971"/>
    <w:rsid w:val="70621E82"/>
    <w:rsid w:val="718D5813"/>
    <w:rsid w:val="71E72D5C"/>
    <w:rsid w:val="72086C48"/>
    <w:rsid w:val="720C6738"/>
    <w:rsid w:val="72534367"/>
    <w:rsid w:val="72655E48"/>
    <w:rsid w:val="72C139C6"/>
    <w:rsid w:val="72F52222"/>
    <w:rsid w:val="730E5B56"/>
    <w:rsid w:val="73CF2113"/>
    <w:rsid w:val="73D56FFD"/>
    <w:rsid w:val="74AF5AA0"/>
    <w:rsid w:val="75355FA6"/>
    <w:rsid w:val="75FA234E"/>
    <w:rsid w:val="762F50EB"/>
    <w:rsid w:val="76313DFE"/>
    <w:rsid w:val="771D4F43"/>
    <w:rsid w:val="7735228D"/>
    <w:rsid w:val="774C5829"/>
    <w:rsid w:val="77AB254F"/>
    <w:rsid w:val="77B75398"/>
    <w:rsid w:val="77BC475C"/>
    <w:rsid w:val="78B4346C"/>
    <w:rsid w:val="78C55892"/>
    <w:rsid w:val="79990E5A"/>
    <w:rsid w:val="7A0C2F65"/>
    <w:rsid w:val="7A21330E"/>
    <w:rsid w:val="7A4B0019"/>
    <w:rsid w:val="7A721A4A"/>
    <w:rsid w:val="7B4C1F4E"/>
    <w:rsid w:val="7B662D41"/>
    <w:rsid w:val="7BCF4007"/>
    <w:rsid w:val="7BD302C6"/>
    <w:rsid w:val="7BEE5100"/>
    <w:rsid w:val="7BFC15CB"/>
    <w:rsid w:val="7CEB0F78"/>
    <w:rsid w:val="7DD62B42"/>
    <w:rsid w:val="7EB663A9"/>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41"/>
    <w:basedOn w:val="10"/>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1744</Words>
  <Characters>2084</Characters>
  <Lines>0</Lines>
  <Paragraphs>0</Paragraphs>
  <TotalTime>0</TotalTime>
  <ScaleCrop>false</ScaleCrop>
  <LinksUpToDate>false</LinksUpToDate>
  <CharactersWithSpaces>2347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2026-02-06T09:09:56Z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